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D76E9" w14:textId="2BCF86B9" w:rsidR="005D3C51" w:rsidRPr="00FF5082" w:rsidRDefault="005D3C51">
      <w:pPr>
        <w:rPr>
          <w:rFonts w:ascii="Arial" w:hAnsi="Arial" w:cs="Arial"/>
          <w:sz w:val="24"/>
          <w:szCs w:val="24"/>
        </w:rPr>
      </w:pPr>
      <w:r w:rsidRPr="00FF5082">
        <w:rPr>
          <w:rFonts w:ascii="Arial" w:hAnsi="Arial" w:cs="Arial"/>
          <w:b/>
          <w:sz w:val="24"/>
          <w:szCs w:val="24"/>
        </w:rPr>
        <w:t xml:space="preserve">Invest Northern Ireland: </w:t>
      </w:r>
      <w:r w:rsidR="00A37F87">
        <w:rPr>
          <w:rFonts w:ascii="Arial" w:hAnsi="Arial" w:cs="Arial"/>
          <w:b/>
          <w:sz w:val="24"/>
          <w:szCs w:val="24"/>
        </w:rPr>
        <w:t>Equality</w:t>
      </w:r>
      <w:r w:rsidRPr="00FF5082">
        <w:rPr>
          <w:rFonts w:ascii="Arial" w:hAnsi="Arial" w:cs="Arial"/>
          <w:b/>
          <w:sz w:val="24"/>
          <w:szCs w:val="24"/>
        </w:rPr>
        <w:t xml:space="preserve"> Action Plan</w:t>
      </w:r>
    </w:p>
    <w:p w14:paraId="1F8691A5" w14:textId="77777777" w:rsidR="005D3C51" w:rsidRPr="00FF5082" w:rsidRDefault="00FF5082">
      <w:pPr>
        <w:rPr>
          <w:rFonts w:ascii="Arial" w:hAnsi="Arial" w:cs="Arial"/>
          <w:sz w:val="24"/>
          <w:szCs w:val="24"/>
        </w:rPr>
      </w:pPr>
      <w:r w:rsidRPr="00FF5082">
        <w:rPr>
          <w:rFonts w:ascii="Arial" w:hAnsi="Arial" w:cs="Arial"/>
          <w:sz w:val="24"/>
          <w:szCs w:val="24"/>
        </w:rPr>
        <w:t>Reviewed Annually</w:t>
      </w:r>
    </w:p>
    <w:p w14:paraId="5971B96E" w14:textId="5D75E7B7" w:rsidR="005D3C51" w:rsidRPr="00FF5082" w:rsidRDefault="005D3C51">
      <w:pPr>
        <w:rPr>
          <w:rFonts w:ascii="Arial" w:hAnsi="Arial" w:cs="Arial"/>
          <w:sz w:val="24"/>
          <w:szCs w:val="24"/>
        </w:rPr>
      </w:pPr>
      <w:r w:rsidRPr="00FF5082">
        <w:rPr>
          <w:rFonts w:ascii="Arial" w:hAnsi="Arial" w:cs="Arial"/>
          <w:sz w:val="24"/>
          <w:szCs w:val="24"/>
        </w:rPr>
        <w:t xml:space="preserve">Invest NI’s business is to encourage economic development in Northern Ireland within the economic policy context determined by the Minister for </w:t>
      </w:r>
      <w:r w:rsidR="006371B6">
        <w:rPr>
          <w:rFonts w:ascii="Arial" w:hAnsi="Arial" w:cs="Arial"/>
          <w:sz w:val="24"/>
          <w:szCs w:val="24"/>
        </w:rPr>
        <w:t xml:space="preserve">the Economy </w:t>
      </w:r>
      <w:r w:rsidRPr="00FF5082">
        <w:rPr>
          <w:rFonts w:ascii="Arial" w:hAnsi="Arial" w:cs="Arial"/>
          <w:sz w:val="24"/>
          <w:szCs w:val="24"/>
        </w:rPr>
        <w:t>and the framework of the Northern Ireland Executive’s Programme for Government and Economic Strategy.</w:t>
      </w:r>
    </w:p>
    <w:p w14:paraId="6EACC8FF" w14:textId="77777777" w:rsidR="005D3C51" w:rsidRPr="00FF5082" w:rsidRDefault="005D3C51">
      <w:pPr>
        <w:rPr>
          <w:rFonts w:ascii="Arial" w:hAnsi="Arial" w:cs="Arial"/>
          <w:sz w:val="24"/>
          <w:szCs w:val="24"/>
        </w:rPr>
      </w:pPr>
      <w:r w:rsidRPr="00FF5082">
        <w:rPr>
          <w:rFonts w:ascii="Arial" w:hAnsi="Arial" w:cs="Arial"/>
          <w:sz w:val="24"/>
          <w:szCs w:val="24"/>
        </w:rPr>
        <w:t xml:space="preserve"> In line with our statutory equality duties under Section 75 of the Northern Ireland Act 1998 and the Equality Commission’s April 2010 revised Guide for Public Authorities, Invest NI has mainstreamed equality considerations fully into its corporate planning process. In the first instance, we have undertaken an audit of inequalities to identify the range of key inequalities upon which the work of Invest NI might impact. In doing so, we have carefully considered the organisation’s range of current and developing policies and programmes </w:t>
      </w:r>
      <w:proofErr w:type="gramStart"/>
      <w:r w:rsidRPr="00FF5082">
        <w:rPr>
          <w:rFonts w:ascii="Arial" w:hAnsi="Arial" w:cs="Arial"/>
          <w:sz w:val="24"/>
          <w:szCs w:val="24"/>
        </w:rPr>
        <w:t>in order to</w:t>
      </w:r>
      <w:proofErr w:type="gramEnd"/>
      <w:r w:rsidRPr="00FF5082">
        <w:rPr>
          <w:rFonts w:ascii="Arial" w:hAnsi="Arial" w:cs="Arial"/>
          <w:sz w:val="24"/>
          <w:szCs w:val="24"/>
        </w:rPr>
        <w:t xml:space="preserve"> highlight those priority areas where we are most likely to contribute to promoting better equality of opportunity and good relations. </w:t>
      </w:r>
    </w:p>
    <w:p w14:paraId="3DF05246" w14:textId="77777777" w:rsidR="006371B6" w:rsidRDefault="005D3C51">
      <w:pPr>
        <w:rPr>
          <w:rFonts w:ascii="Arial" w:hAnsi="Arial" w:cs="Arial"/>
          <w:sz w:val="24"/>
          <w:szCs w:val="24"/>
        </w:rPr>
      </w:pPr>
      <w:r w:rsidRPr="00FF5082">
        <w:rPr>
          <w:rFonts w:ascii="Arial" w:hAnsi="Arial" w:cs="Arial"/>
          <w:sz w:val="24"/>
          <w:szCs w:val="24"/>
        </w:rPr>
        <w:t xml:space="preserve">As part of our role and working with the Department for the Economy (DfE), Invest NI monitors labour market and employment trends closely. The sections below outline what we consider to be the priority areas for attention. We have outlined the key information available on equality-related issues in those areas of work and provided a brief overview of action already being taken to address those issues together with </w:t>
      </w:r>
      <w:proofErr w:type="gramStart"/>
      <w:r w:rsidRPr="00FF5082">
        <w:rPr>
          <w:rFonts w:ascii="Arial" w:hAnsi="Arial" w:cs="Arial"/>
          <w:sz w:val="24"/>
          <w:szCs w:val="24"/>
        </w:rPr>
        <w:t>future plans</w:t>
      </w:r>
      <w:proofErr w:type="gramEnd"/>
      <w:r w:rsidRPr="00FF5082">
        <w:rPr>
          <w:rFonts w:ascii="Arial" w:hAnsi="Arial" w:cs="Arial"/>
          <w:sz w:val="24"/>
          <w:szCs w:val="24"/>
        </w:rPr>
        <w:t xml:space="preserve"> to tackle inequality and disadvantage. </w:t>
      </w:r>
    </w:p>
    <w:p w14:paraId="29966AC3" w14:textId="38920A7C" w:rsidR="005D3C51" w:rsidRPr="00FF5082" w:rsidRDefault="005D3C51">
      <w:pPr>
        <w:rPr>
          <w:rFonts w:ascii="Arial" w:hAnsi="Arial" w:cs="Arial"/>
          <w:sz w:val="24"/>
          <w:szCs w:val="24"/>
        </w:rPr>
      </w:pPr>
      <w:r w:rsidRPr="00FF5082">
        <w:rPr>
          <w:rFonts w:ascii="Arial" w:hAnsi="Arial" w:cs="Arial"/>
          <w:sz w:val="24"/>
          <w:szCs w:val="24"/>
        </w:rPr>
        <w:t>This Action Plan is predicated on previous research following the numerous EQIA’s conducted by Invest NI, most recently the</w:t>
      </w:r>
      <w:r w:rsidR="008303E3">
        <w:rPr>
          <w:rFonts w:ascii="Arial" w:hAnsi="Arial" w:cs="Arial"/>
          <w:sz w:val="24"/>
          <w:szCs w:val="24"/>
        </w:rPr>
        <w:t xml:space="preserve"> </w:t>
      </w:r>
      <w:r w:rsidR="006371B6">
        <w:rPr>
          <w:rFonts w:ascii="Arial" w:hAnsi="Arial" w:cs="Arial"/>
          <w:sz w:val="24"/>
          <w:szCs w:val="24"/>
        </w:rPr>
        <w:t>Business Strategy 24-27</w:t>
      </w:r>
      <w:r w:rsidR="008303E3">
        <w:rPr>
          <w:rFonts w:ascii="Arial" w:hAnsi="Arial" w:cs="Arial"/>
          <w:sz w:val="24"/>
          <w:szCs w:val="24"/>
        </w:rPr>
        <w:t xml:space="preserve"> EQIA</w:t>
      </w:r>
      <w:r w:rsidR="00A37F87">
        <w:rPr>
          <w:rFonts w:ascii="Arial" w:hAnsi="Arial" w:cs="Arial"/>
          <w:sz w:val="24"/>
          <w:szCs w:val="24"/>
        </w:rPr>
        <w:t>.</w:t>
      </w:r>
    </w:p>
    <w:p w14:paraId="781C81C4" w14:textId="77777777" w:rsidR="005D3C51" w:rsidRPr="00FF5082" w:rsidRDefault="005D3C51">
      <w:pPr>
        <w:rPr>
          <w:rFonts w:ascii="Arial" w:hAnsi="Arial" w:cs="Arial"/>
          <w:sz w:val="24"/>
          <w:szCs w:val="24"/>
        </w:rPr>
      </w:pPr>
      <w:r w:rsidRPr="00FF5082">
        <w:rPr>
          <w:rFonts w:ascii="Arial" w:hAnsi="Arial" w:cs="Arial"/>
          <w:sz w:val="24"/>
          <w:szCs w:val="24"/>
        </w:rPr>
        <w:t xml:space="preserve">Each of these EQIA’s is available to view on our website page: http://www.investni.com/equality. </w:t>
      </w:r>
    </w:p>
    <w:p w14:paraId="5603CEA4" w14:textId="77777777" w:rsidR="005D3C51" w:rsidRPr="00FF5082" w:rsidRDefault="005D3C51">
      <w:pPr>
        <w:rPr>
          <w:rFonts w:ascii="Arial" w:hAnsi="Arial" w:cs="Arial"/>
          <w:sz w:val="24"/>
          <w:szCs w:val="24"/>
        </w:rPr>
      </w:pPr>
      <w:r w:rsidRPr="00FF5082">
        <w:rPr>
          <w:rFonts w:ascii="Arial" w:hAnsi="Arial" w:cs="Arial"/>
          <w:sz w:val="24"/>
          <w:szCs w:val="24"/>
        </w:rPr>
        <w:t>We believe that these documents demonstrate Invest NI’s commitment to equality to date and provide a firm foundation for our work going forward. Data contained within these EQIA’s have been used to inform the Action Plan as presented below.</w:t>
      </w:r>
    </w:p>
    <w:p w14:paraId="24DC4CFB" w14:textId="4E9E040D" w:rsidR="005D3C51" w:rsidRPr="00FF5082" w:rsidRDefault="23C3EE3A" w:rsidP="3BFE4B34">
      <w:pPr>
        <w:rPr>
          <w:rFonts w:ascii="Arial" w:hAnsi="Arial" w:cs="Arial"/>
          <w:b/>
          <w:bCs/>
          <w:sz w:val="24"/>
          <w:szCs w:val="24"/>
        </w:rPr>
      </w:pPr>
      <w:r w:rsidRPr="3BFE4B34">
        <w:rPr>
          <w:rFonts w:ascii="Arial" w:hAnsi="Arial" w:cs="Arial"/>
          <w:b/>
          <w:bCs/>
          <w:sz w:val="24"/>
          <w:szCs w:val="24"/>
        </w:rPr>
        <w:t xml:space="preserve">Programme for Government / </w:t>
      </w:r>
      <w:r w:rsidR="005D3C51" w:rsidRPr="3BFE4B34">
        <w:rPr>
          <w:rFonts w:ascii="Arial" w:hAnsi="Arial" w:cs="Arial"/>
          <w:b/>
          <w:bCs/>
          <w:sz w:val="24"/>
          <w:szCs w:val="24"/>
        </w:rPr>
        <w:t xml:space="preserve">Economic Strategy </w:t>
      </w:r>
    </w:p>
    <w:p w14:paraId="6EF1D970" w14:textId="40FC6695" w:rsidR="62F89D6D" w:rsidRDefault="00A37F87" w:rsidP="02D76CA6">
      <w:pPr>
        <w:rPr>
          <w:rFonts w:ascii="Arial" w:hAnsi="Arial" w:cs="Arial"/>
          <w:sz w:val="24"/>
          <w:szCs w:val="24"/>
        </w:rPr>
      </w:pPr>
      <w:r>
        <w:rPr>
          <w:rFonts w:ascii="Arial" w:hAnsi="Arial" w:cs="Arial"/>
          <w:sz w:val="24"/>
          <w:szCs w:val="24"/>
        </w:rPr>
        <w:t>The</w:t>
      </w:r>
      <w:r w:rsidR="3E75C838" w:rsidRPr="02D76CA6">
        <w:rPr>
          <w:rFonts w:ascii="Arial" w:hAnsi="Arial" w:cs="Arial"/>
          <w:sz w:val="24"/>
          <w:szCs w:val="24"/>
        </w:rPr>
        <w:t xml:space="preserve"> Department for the Economy</w:t>
      </w:r>
      <w:r>
        <w:rPr>
          <w:rFonts w:ascii="Arial" w:hAnsi="Arial" w:cs="Arial"/>
          <w:sz w:val="24"/>
          <w:szCs w:val="24"/>
        </w:rPr>
        <w:t xml:space="preserve"> has recently launched its Economic Mission</w:t>
      </w:r>
      <w:r w:rsidR="3E75C838" w:rsidRPr="02D76CA6">
        <w:rPr>
          <w:rFonts w:ascii="Arial" w:hAnsi="Arial" w:cs="Arial"/>
          <w:sz w:val="24"/>
          <w:szCs w:val="24"/>
        </w:rPr>
        <w:t xml:space="preserve"> </w:t>
      </w:r>
      <w:r>
        <w:rPr>
          <w:rFonts w:ascii="Arial" w:hAnsi="Arial" w:cs="Arial"/>
          <w:sz w:val="24"/>
          <w:szCs w:val="24"/>
        </w:rPr>
        <w:t xml:space="preserve">aiming </w:t>
      </w:r>
      <w:r w:rsidR="20CFBB14" w:rsidRPr="02D76CA6">
        <w:rPr>
          <w:rFonts w:ascii="Arial" w:hAnsi="Arial" w:cs="Arial"/>
          <w:sz w:val="24"/>
          <w:szCs w:val="24"/>
        </w:rPr>
        <w:t xml:space="preserve">to </w:t>
      </w:r>
      <w:r w:rsidR="3E75C838" w:rsidRPr="02D76CA6">
        <w:rPr>
          <w:rFonts w:ascii="Arial" w:hAnsi="Arial" w:cs="Arial"/>
          <w:sz w:val="24"/>
          <w:szCs w:val="24"/>
        </w:rPr>
        <w:t>position Northern Ireland as a leader amongst the small-advanced economies of the world</w:t>
      </w:r>
      <w:r w:rsidR="4D1DB09B" w:rsidRPr="02D76CA6">
        <w:rPr>
          <w:rFonts w:ascii="Arial" w:hAnsi="Arial" w:cs="Arial"/>
          <w:sz w:val="24"/>
          <w:szCs w:val="24"/>
        </w:rPr>
        <w:t xml:space="preserve"> w</w:t>
      </w:r>
      <w:r w:rsidR="3E75C838" w:rsidRPr="02D76CA6">
        <w:rPr>
          <w:rFonts w:ascii="Arial" w:hAnsi="Arial" w:cs="Arial"/>
          <w:sz w:val="24"/>
          <w:szCs w:val="24"/>
        </w:rPr>
        <w:t xml:space="preserve">hilst ensuring that the benefits of </w:t>
      </w:r>
      <w:r w:rsidR="5E90978C" w:rsidRPr="02D76CA6">
        <w:rPr>
          <w:rFonts w:ascii="Arial" w:hAnsi="Arial" w:cs="Arial"/>
          <w:sz w:val="24"/>
          <w:szCs w:val="24"/>
        </w:rPr>
        <w:t>future economic growth</w:t>
      </w:r>
      <w:r w:rsidR="3E75C838" w:rsidRPr="02D76CA6">
        <w:rPr>
          <w:rFonts w:ascii="Arial" w:hAnsi="Arial" w:cs="Arial"/>
          <w:sz w:val="24"/>
          <w:szCs w:val="24"/>
        </w:rPr>
        <w:t xml:space="preserve"> are shared </w:t>
      </w:r>
      <w:r w:rsidR="0FBBEE93" w:rsidRPr="02D76CA6">
        <w:rPr>
          <w:rFonts w:ascii="Arial" w:hAnsi="Arial" w:cs="Arial"/>
          <w:sz w:val="24"/>
          <w:szCs w:val="24"/>
        </w:rPr>
        <w:t xml:space="preserve">more </w:t>
      </w:r>
      <w:r w:rsidR="65D61D88" w:rsidRPr="02D76CA6">
        <w:rPr>
          <w:rFonts w:ascii="Arial" w:hAnsi="Arial" w:cs="Arial"/>
          <w:sz w:val="24"/>
          <w:szCs w:val="24"/>
        </w:rPr>
        <w:t>equitably</w:t>
      </w:r>
      <w:r w:rsidR="0FBBEE93" w:rsidRPr="02D76CA6">
        <w:rPr>
          <w:rFonts w:ascii="Arial" w:hAnsi="Arial" w:cs="Arial"/>
          <w:sz w:val="24"/>
          <w:szCs w:val="24"/>
        </w:rPr>
        <w:t xml:space="preserve"> across NI and</w:t>
      </w:r>
      <w:r w:rsidR="3E75C838" w:rsidRPr="02D76CA6">
        <w:rPr>
          <w:rFonts w:ascii="Arial" w:hAnsi="Arial" w:cs="Arial"/>
          <w:sz w:val="24"/>
          <w:szCs w:val="24"/>
        </w:rPr>
        <w:t xml:space="preserve"> our people.</w:t>
      </w:r>
    </w:p>
    <w:p w14:paraId="63C4094A" w14:textId="64B93F58" w:rsidR="3E75C838" w:rsidRDefault="3E75C838" w:rsidP="02D76CA6">
      <w:pPr>
        <w:rPr>
          <w:rFonts w:ascii="Arial" w:hAnsi="Arial" w:cs="Arial"/>
          <w:sz w:val="24"/>
          <w:szCs w:val="24"/>
        </w:rPr>
      </w:pPr>
      <w:r w:rsidRPr="02D76CA6">
        <w:rPr>
          <w:rFonts w:ascii="Arial" w:hAnsi="Arial" w:cs="Arial"/>
          <w:sz w:val="24"/>
          <w:szCs w:val="24"/>
        </w:rPr>
        <w:t xml:space="preserve">Invest NI will work collaboratively with the Department, business, stakeholders and partners to identify the opportunities and enhanced support needed to </w:t>
      </w:r>
      <w:r w:rsidR="77DFC21F" w:rsidRPr="02D76CA6">
        <w:rPr>
          <w:rFonts w:ascii="Arial" w:hAnsi="Arial" w:cs="Arial"/>
          <w:sz w:val="24"/>
          <w:szCs w:val="24"/>
        </w:rPr>
        <w:t>achieve th</w:t>
      </w:r>
      <w:r w:rsidR="00A37F87">
        <w:rPr>
          <w:rFonts w:ascii="Arial" w:hAnsi="Arial" w:cs="Arial"/>
          <w:sz w:val="24"/>
          <w:szCs w:val="24"/>
        </w:rPr>
        <w:t>ese aims</w:t>
      </w:r>
      <w:r w:rsidRPr="02D76CA6">
        <w:rPr>
          <w:rFonts w:ascii="Arial" w:hAnsi="Arial" w:cs="Arial"/>
          <w:sz w:val="24"/>
          <w:szCs w:val="24"/>
        </w:rPr>
        <w:t>.</w:t>
      </w:r>
      <w:r w:rsidR="534C389E" w:rsidRPr="02D76CA6">
        <w:rPr>
          <w:rFonts w:ascii="Arial" w:hAnsi="Arial" w:cs="Arial"/>
          <w:sz w:val="24"/>
          <w:szCs w:val="24"/>
        </w:rPr>
        <w:t xml:space="preserve"> </w:t>
      </w:r>
      <w:r w:rsidRPr="02D76CA6">
        <w:rPr>
          <w:rFonts w:ascii="Arial" w:hAnsi="Arial" w:cs="Arial"/>
          <w:sz w:val="24"/>
          <w:szCs w:val="24"/>
        </w:rPr>
        <w:t xml:space="preserve"> We will be a convener to draw together, target and optimise available support across partners in a holistic way to maximise outcomes for the benefit of all our citizens.</w:t>
      </w:r>
    </w:p>
    <w:p w14:paraId="419437C0" w14:textId="31C00E87" w:rsidR="005D3C51" w:rsidRPr="00FF5082" w:rsidRDefault="005D3C51" w:rsidP="00A37F87">
      <w:pPr>
        <w:rPr>
          <w:rFonts w:ascii="Arial" w:hAnsi="Arial" w:cs="Arial"/>
          <w:sz w:val="24"/>
          <w:szCs w:val="24"/>
        </w:rPr>
      </w:pPr>
      <w:r w:rsidRPr="02D76CA6">
        <w:rPr>
          <w:rFonts w:ascii="Arial" w:hAnsi="Arial" w:cs="Arial"/>
          <w:sz w:val="24"/>
          <w:szCs w:val="24"/>
        </w:rPr>
        <w:t xml:space="preserve">The overarching goal of </w:t>
      </w:r>
      <w:r w:rsidR="6F8E5314" w:rsidRPr="02D76CA6">
        <w:rPr>
          <w:rFonts w:ascii="Arial" w:hAnsi="Arial" w:cs="Arial"/>
          <w:sz w:val="24"/>
          <w:szCs w:val="24"/>
        </w:rPr>
        <w:t>our approach</w:t>
      </w:r>
      <w:r w:rsidRPr="02D76CA6">
        <w:rPr>
          <w:rFonts w:ascii="Arial" w:hAnsi="Arial" w:cs="Arial"/>
          <w:sz w:val="24"/>
          <w:szCs w:val="24"/>
        </w:rPr>
        <w:t xml:space="preserve"> is to improve the economic competitiveness</w:t>
      </w:r>
      <w:r w:rsidR="37623F78" w:rsidRPr="02D76CA6">
        <w:rPr>
          <w:rFonts w:ascii="Arial" w:hAnsi="Arial" w:cs="Arial"/>
          <w:sz w:val="24"/>
          <w:szCs w:val="24"/>
        </w:rPr>
        <w:t xml:space="preserve"> and productivity</w:t>
      </w:r>
      <w:r w:rsidRPr="02D76CA6">
        <w:rPr>
          <w:rFonts w:ascii="Arial" w:hAnsi="Arial" w:cs="Arial"/>
          <w:sz w:val="24"/>
          <w:szCs w:val="24"/>
        </w:rPr>
        <w:t xml:space="preserve"> of the N</w:t>
      </w:r>
      <w:r w:rsidR="1CBDFAD3" w:rsidRPr="02D76CA6">
        <w:rPr>
          <w:rFonts w:ascii="Arial" w:hAnsi="Arial" w:cs="Arial"/>
          <w:sz w:val="24"/>
          <w:szCs w:val="24"/>
        </w:rPr>
        <w:t>I</w:t>
      </w:r>
      <w:r w:rsidRPr="02D76CA6">
        <w:rPr>
          <w:rFonts w:ascii="Arial" w:hAnsi="Arial" w:cs="Arial"/>
          <w:sz w:val="24"/>
          <w:szCs w:val="24"/>
        </w:rPr>
        <w:t xml:space="preserve"> economy through a focus on export led growth</w:t>
      </w:r>
      <w:r w:rsidR="63A18FD0" w:rsidRPr="02D76CA6">
        <w:rPr>
          <w:rFonts w:ascii="Arial" w:hAnsi="Arial" w:cs="Arial"/>
          <w:sz w:val="24"/>
          <w:szCs w:val="24"/>
        </w:rPr>
        <w:t xml:space="preserve"> and targeting clusters, technologies and sectors that offer the best </w:t>
      </w:r>
      <w:r w:rsidR="2B8A53F8" w:rsidRPr="02D76CA6">
        <w:rPr>
          <w:rFonts w:ascii="Arial" w:hAnsi="Arial" w:cs="Arial"/>
          <w:sz w:val="24"/>
          <w:szCs w:val="24"/>
        </w:rPr>
        <w:t xml:space="preserve">outcome </w:t>
      </w:r>
      <w:r w:rsidR="63A18FD0" w:rsidRPr="02D76CA6">
        <w:rPr>
          <w:rFonts w:ascii="Arial" w:hAnsi="Arial" w:cs="Arial"/>
          <w:sz w:val="24"/>
          <w:szCs w:val="24"/>
        </w:rPr>
        <w:t xml:space="preserve">opportunities.  </w:t>
      </w:r>
    </w:p>
    <w:p w14:paraId="619D800E" w14:textId="6C15AB3F" w:rsidR="00A37F87" w:rsidRDefault="005D3C51">
      <w:pPr>
        <w:rPr>
          <w:rFonts w:ascii="Arial" w:hAnsi="Arial" w:cs="Arial"/>
          <w:sz w:val="24"/>
          <w:szCs w:val="24"/>
        </w:rPr>
      </w:pPr>
      <w:r w:rsidRPr="02D76CA6">
        <w:rPr>
          <w:rFonts w:ascii="Arial" w:hAnsi="Arial" w:cs="Arial"/>
          <w:sz w:val="24"/>
          <w:szCs w:val="24"/>
        </w:rPr>
        <w:lastRenderedPageBreak/>
        <w:t xml:space="preserve">Invest NI will continue to integrate Section 75 obligations within our </w:t>
      </w:r>
      <w:r w:rsidR="47202712" w:rsidRPr="02D76CA6">
        <w:rPr>
          <w:rFonts w:ascii="Arial" w:hAnsi="Arial" w:cs="Arial"/>
          <w:sz w:val="24"/>
          <w:szCs w:val="24"/>
        </w:rPr>
        <w:t>business and strategic</w:t>
      </w:r>
      <w:r w:rsidRPr="02D76CA6">
        <w:rPr>
          <w:rFonts w:ascii="Arial" w:hAnsi="Arial" w:cs="Arial"/>
          <w:sz w:val="24"/>
          <w:szCs w:val="24"/>
        </w:rPr>
        <w:t xml:space="preserve"> planning process</w:t>
      </w:r>
      <w:r w:rsidR="58A177F2" w:rsidRPr="02D76CA6">
        <w:rPr>
          <w:rFonts w:ascii="Arial" w:hAnsi="Arial" w:cs="Arial"/>
          <w:sz w:val="24"/>
          <w:szCs w:val="24"/>
        </w:rPr>
        <w:t xml:space="preserve">.  We </w:t>
      </w:r>
      <w:r w:rsidR="008303E3">
        <w:rPr>
          <w:rFonts w:ascii="Arial" w:hAnsi="Arial" w:cs="Arial"/>
          <w:sz w:val="24"/>
          <w:szCs w:val="24"/>
        </w:rPr>
        <w:t>have</w:t>
      </w:r>
      <w:r w:rsidRPr="02D76CA6">
        <w:rPr>
          <w:rFonts w:ascii="Arial" w:hAnsi="Arial" w:cs="Arial"/>
          <w:sz w:val="24"/>
          <w:szCs w:val="24"/>
        </w:rPr>
        <w:t xml:space="preserve"> outline</w:t>
      </w:r>
      <w:r w:rsidR="008303E3">
        <w:rPr>
          <w:rFonts w:ascii="Arial" w:hAnsi="Arial" w:cs="Arial"/>
          <w:sz w:val="24"/>
          <w:szCs w:val="24"/>
        </w:rPr>
        <w:t>d</w:t>
      </w:r>
      <w:r w:rsidRPr="02D76CA6">
        <w:rPr>
          <w:rFonts w:ascii="Arial" w:hAnsi="Arial" w:cs="Arial"/>
          <w:sz w:val="24"/>
          <w:szCs w:val="24"/>
        </w:rPr>
        <w:t xml:space="preserve"> our equality commitment in</w:t>
      </w:r>
      <w:r w:rsidR="2A087F76" w:rsidRPr="02D76CA6">
        <w:rPr>
          <w:rFonts w:ascii="Arial" w:hAnsi="Arial" w:cs="Arial"/>
          <w:sz w:val="24"/>
          <w:szCs w:val="24"/>
        </w:rPr>
        <w:t xml:space="preserve"> our new</w:t>
      </w:r>
      <w:r w:rsidR="2E3A3A2F" w:rsidRPr="02D76CA6">
        <w:rPr>
          <w:rFonts w:ascii="Arial" w:hAnsi="Arial" w:cs="Arial"/>
          <w:sz w:val="24"/>
          <w:szCs w:val="24"/>
        </w:rPr>
        <w:t xml:space="preserve"> Business </w:t>
      </w:r>
      <w:r w:rsidR="00A37F87">
        <w:rPr>
          <w:rFonts w:ascii="Arial" w:hAnsi="Arial" w:cs="Arial"/>
          <w:sz w:val="24"/>
          <w:szCs w:val="24"/>
        </w:rPr>
        <w:t>Strategy</w:t>
      </w:r>
      <w:r w:rsidR="2E3A3A2F" w:rsidRPr="02D76CA6">
        <w:rPr>
          <w:rFonts w:ascii="Arial" w:hAnsi="Arial" w:cs="Arial"/>
          <w:sz w:val="24"/>
          <w:szCs w:val="24"/>
        </w:rPr>
        <w:t xml:space="preserve"> for 202</w:t>
      </w:r>
      <w:r w:rsidR="00A37F87">
        <w:rPr>
          <w:rFonts w:ascii="Arial" w:hAnsi="Arial" w:cs="Arial"/>
          <w:sz w:val="24"/>
          <w:szCs w:val="24"/>
        </w:rPr>
        <w:t>4</w:t>
      </w:r>
      <w:r w:rsidR="2E3A3A2F" w:rsidRPr="02D76CA6">
        <w:rPr>
          <w:rFonts w:ascii="Arial" w:hAnsi="Arial" w:cs="Arial"/>
          <w:sz w:val="24"/>
          <w:szCs w:val="24"/>
        </w:rPr>
        <w:t>/2</w:t>
      </w:r>
      <w:r w:rsidR="00A37F87">
        <w:rPr>
          <w:rFonts w:ascii="Arial" w:hAnsi="Arial" w:cs="Arial"/>
          <w:sz w:val="24"/>
          <w:szCs w:val="24"/>
        </w:rPr>
        <w:t>7</w:t>
      </w:r>
      <w:r w:rsidRPr="02D76CA6">
        <w:rPr>
          <w:rFonts w:ascii="Arial" w:hAnsi="Arial" w:cs="Arial"/>
          <w:sz w:val="24"/>
          <w:szCs w:val="24"/>
        </w:rPr>
        <w:t>.</w:t>
      </w:r>
      <w:r w:rsidR="2FE86EC7" w:rsidRPr="02D76CA6">
        <w:rPr>
          <w:rFonts w:ascii="Arial" w:hAnsi="Arial" w:cs="Arial"/>
          <w:sz w:val="24"/>
          <w:szCs w:val="24"/>
        </w:rPr>
        <w:t xml:space="preserve"> </w:t>
      </w:r>
      <w:r w:rsidRPr="02D76CA6">
        <w:rPr>
          <w:rFonts w:ascii="Arial" w:hAnsi="Arial" w:cs="Arial"/>
          <w:sz w:val="24"/>
          <w:szCs w:val="24"/>
        </w:rPr>
        <w:t xml:space="preserve"> </w:t>
      </w:r>
    </w:p>
    <w:p w14:paraId="63D80413" w14:textId="5D069C0D" w:rsidR="005D3C51" w:rsidRPr="00FF5082" w:rsidRDefault="005D3C51">
      <w:pPr>
        <w:rPr>
          <w:rFonts w:ascii="Arial" w:hAnsi="Arial" w:cs="Arial"/>
          <w:sz w:val="24"/>
          <w:szCs w:val="24"/>
        </w:rPr>
      </w:pPr>
      <w:r w:rsidRPr="02D76CA6">
        <w:rPr>
          <w:rFonts w:ascii="Arial" w:hAnsi="Arial" w:cs="Arial"/>
          <w:sz w:val="24"/>
          <w:szCs w:val="24"/>
        </w:rPr>
        <w:t xml:space="preserve">The measures outlined in the action plan below demonstrate our overarching goals going forward and give an indication of our intended timescales. </w:t>
      </w:r>
      <w:r w:rsidR="37B8A52D" w:rsidRPr="02D76CA6">
        <w:rPr>
          <w:rFonts w:ascii="Arial" w:hAnsi="Arial" w:cs="Arial"/>
          <w:sz w:val="24"/>
          <w:szCs w:val="24"/>
        </w:rPr>
        <w:t xml:space="preserve"> </w:t>
      </w:r>
      <w:r w:rsidRPr="02D76CA6">
        <w:rPr>
          <w:rFonts w:ascii="Arial" w:hAnsi="Arial" w:cs="Arial"/>
          <w:sz w:val="24"/>
          <w:szCs w:val="24"/>
        </w:rPr>
        <w:t xml:space="preserve">These overarching goals, indicators, measures and timescales reflect on </w:t>
      </w:r>
      <w:r w:rsidR="00FF5082" w:rsidRPr="02D76CA6">
        <w:rPr>
          <w:rFonts w:ascii="Arial" w:hAnsi="Arial" w:cs="Arial"/>
          <w:sz w:val="24"/>
          <w:szCs w:val="24"/>
        </w:rPr>
        <w:t>all core business of Invest NI in line with DfE economic strategy.</w:t>
      </w:r>
    </w:p>
    <w:p w14:paraId="672A6659" w14:textId="77777777" w:rsidR="005D3C51" w:rsidRPr="00FF5082" w:rsidRDefault="005D3C51">
      <w:pPr>
        <w:rPr>
          <w:rFonts w:cstheme="minorHAnsi"/>
          <w:sz w:val="24"/>
          <w:szCs w:val="24"/>
        </w:rPr>
      </w:pPr>
    </w:p>
    <w:p w14:paraId="0A37501D" w14:textId="77777777" w:rsidR="005D3C51" w:rsidRPr="00FF5082" w:rsidRDefault="005D3C51">
      <w:pPr>
        <w:rPr>
          <w:rFonts w:cstheme="minorHAnsi"/>
          <w:sz w:val="24"/>
          <w:szCs w:val="24"/>
        </w:rPr>
      </w:pPr>
    </w:p>
    <w:p w14:paraId="5DAB6C7B" w14:textId="77777777" w:rsidR="005D3C51" w:rsidRPr="00FF5082" w:rsidRDefault="005D3C51">
      <w:pPr>
        <w:rPr>
          <w:rFonts w:cstheme="minorHAnsi"/>
          <w:sz w:val="24"/>
          <w:szCs w:val="24"/>
        </w:rPr>
      </w:pPr>
    </w:p>
    <w:p w14:paraId="02EB378F" w14:textId="77777777" w:rsidR="005D3C51" w:rsidRPr="00FF5082" w:rsidRDefault="005D3C51">
      <w:pPr>
        <w:rPr>
          <w:rFonts w:cstheme="minorHAnsi"/>
          <w:sz w:val="24"/>
          <w:szCs w:val="24"/>
        </w:rPr>
      </w:pPr>
    </w:p>
    <w:p w14:paraId="6A05A809" w14:textId="77777777" w:rsidR="005D3C51" w:rsidRPr="00FF5082" w:rsidRDefault="005D3C51">
      <w:pPr>
        <w:rPr>
          <w:rFonts w:cstheme="minorHAnsi"/>
          <w:sz w:val="24"/>
          <w:szCs w:val="24"/>
        </w:rPr>
      </w:pPr>
    </w:p>
    <w:p w14:paraId="5A39BBE3" w14:textId="77777777" w:rsidR="005D3C51" w:rsidRPr="00FF5082" w:rsidRDefault="005D3C51">
      <w:pPr>
        <w:rPr>
          <w:rFonts w:cstheme="minorHAnsi"/>
          <w:sz w:val="24"/>
          <w:szCs w:val="24"/>
        </w:rPr>
      </w:pPr>
    </w:p>
    <w:p w14:paraId="41C8F396" w14:textId="77777777" w:rsidR="005D3C51" w:rsidRPr="00FF5082" w:rsidRDefault="005D3C51">
      <w:pPr>
        <w:rPr>
          <w:rFonts w:cstheme="minorHAnsi"/>
          <w:sz w:val="24"/>
          <w:szCs w:val="24"/>
        </w:rPr>
      </w:pPr>
    </w:p>
    <w:p w14:paraId="72A3D3EC" w14:textId="77777777" w:rsidR="005D3C51" w:rsidRPr="00FF5082" w:rsidRDefault="005D3C51">
      <w:pPr>
        <w:rPr>
          <w:rFonts w:cstheme="minorHAnsi"/>
          <w:sz w:val="24"/>
          <w:szCs w:val="24"/>
        </w:rPr>
      </w:pPr>
    </w:p>
    <w:p w14:paraId="0D0B940D" w14:textId="77777777" w:rsidR="005D3C51" w:rsidRPr="00FF5082" w:rsidRDefault="005D3C51">
      <w:pPr>
        <w:rPr>
          <w:rFonts w:cstheme="minorHAnsi"/>
          <w:sz w:val="24"/>
          <w:szCs w:val="24"/>
        </w:rPr>
      </w:pPr>
    </w:p>
    <w:p w14:paraId="0E27B00A" w14:textId="77777777" w:rsidR="005D3C51" w:rsidRPr="00FF5082" w:rsidRDefault="005D3C51">
      <w:pPr>
        <w:rPr>
          <w:rFonts w:cstheme="minorHAnsi"/>
          <w:sz w:val="24"/>
          <w:szCs w:val="24"/>
        </w:rPr>
      </w:pPr>
    </w:p>
    <w:p w14:paraId="60061E4C" w14:textId="77777777" w:rsidR="00FF5082" w:rsidRDefault="00FF5082">
      <w:pPr>
        <w:rPr>
          <w:rFonts w:cstheme="minorHAnsi"/>
          <w:sz w:val="24"/>
          <w:szCs w:val="24"/>
        </w:rPr>
      </w:pPr>
    </w:p>
    <w:p w14:paraId="136BE301" w14:textId="77777777" w:rsidR="00A37F87" w:rsidRDefault="00A37F87">
      <w:pPr>
        <w:rPr>
          <w:rFonts w:cstheme="minorHAnsi"/>
          <w:sz w:val="24"/>
          <w:szCs w:val="24"/>
        </w:rPr>
      </w:pPr>
    </w:p>
    <w:p w14:paraId="1E3CAD08" w14:textId="77777777" w:rsidR="00A37F87" w:rsidRDefault="00A37F87">
      <w:pPr>
        <w:rPr>
          <w:rFonts w:cstheme="minorHAnsi"/>
          <w:sz w:val="24"/>
          <w:szCs w:val="24"/>
        </w:rPr>
      </w:pPr>
    </w:p>
    <w:p w14:paraId="20602DF5" w14:textId="77777777" w:rsidR="00A37F87" w:rsidRDefault="00A37F87">
      <w:pPr>
        <w:rPr>
          <w:rFonts w:cstheme="minorHAnsi"/>
          <w:sz w:val="24"/>
          <w:szCs w:val="24"/>
        </w:rPr>
      </w:pPr>
    </w:p>
    <w:p w14:paraId="568D1DAD" w14:textId="77777777" w:rsidR="00A37F87" w:rsidRDefault="00A37F87">
      <w:pPr>
        <w:rPr>
          <w:rFonts w:cstheme="minorHAnsi"/>
          <w:sz w:val="24"/>
          <w:szCs w:val="24"/>
        </w:rPr>
      </w:pPr>
    </w:p>
    <w:p w14:paraId="0048DF71" w14:textId="77777777" w:rsidR="00A37F87" w:rsidRDefault="00A37F87">
      <w:pPr>
        <w:rPr>
          <w:rFonts w:cstheme="minorHAnsi"/>
          <w:sz w:val="24"/>
          <w:szCs w:val="24"/>
        </w:rPr>
      </w:pPr>
    </w:p>
    <w:p w14:paraId="400A91E4" w14:textId="77777777" w:rsidR="00A37F87" w:rsidRDefault="00A37F87">
      <w:pPr>
        <w:rPr>
          <w:rFonts w:cstheme="minorHAnsi"/>
          <w:sz w:val="24"/>
          <w:szCs w:val="24"/>
        </w:rPr>
      </w:pPr>
    </w:p>
    <w:p w14:paraId="3ADD9AC3" w14:textId="77777777" w:rsidR="00A37F87" w:rsidRDefault="00A37F87">
      <w:pPr>
        <w:rPr>
          <w:rFonts w:cstheme="minorHAnsi"/>
          <w:sz w:val="24"/>
          <w:szCs w:val="24"/>
        </w:rPr>
      </w:pPr>
    </w:p>
    <w:p w14:paraId="725DC6C6" w14:textId="77777777" w:rsidR="00A37F87" w:rsidRDefault="00A37F87">
      <w:pPr>
        <w:rPr>
          <w:rFonts w:cstheme="minorHAnsi"/>
          <w:sz w:val="24"/>
          <w:szCs w:val="24"/>
        </w:rPr>
      </w:pPr>
    </w:p>
    <w:p w14:paraId="0F9E1F77" w14:textId="77777777" w:rsidR="00A37F87" w:rsidRDefault="00A37F87">
      <w:pPr>
        <w:rPr>
          <w:rFonts w:cstheme="minorHAnsi"/>
          <w:sz w:val="24"/>
          <w:szCs w:val="24"/>
        </w:rPr>
      </w:pPr>
    </w:p>
    <w:p w14:paraId="1E4212E3" w14:textId="77777777" w:rsidR="00A37F87" w:rsidRDefault="00A37F87">
      <w:pPr>
        <w:rPr>
          <w:rFonts w:cstheme="minorHAnsi"/>
          <w:sz w:val="24"/>
          <w:szCs w:val="24"/>
        </w:rPr>
      </w:pPr>
    </w:p>
    <w:p w14:paraId="61A8AA48" w14:textId="77777777" w:rsidR="00A37F87" w:rsidRDefault="00A37F87">
      <w:pPr>
        <w:rPr>
          <w:rFonts w:cstheme="minorHAnsi"/>
          <w:sz w:val="24"/>
          <w:szCs w:val="24"/>
        </w:rPr>
      </w:pPr>
    </w:p>
    <w:p w14:paraId="0015805A" w14:textId="77777777" w:rsidR="00A37F87" w:rsidRDefault="00A37F87">
      <w:pPr>
        <w:rPr>
          <w:rFonts w:cstheme="minorHAnsi"/>
          <w:sz w:val="24"/>
          <w:szCs w:val="24"/>
        </w:rPr>
      </w:pPr>
    </w:p>
    <w:p w14:paraId="4890E8B7" w14:textId="77777777" w:rsidR="00A37F87" w:rsidRDefault="00A37F87">
      <w:pPr>
        <w:rPr>
          <w:rFonts w:cstheme="minorHAnsi"/>
          <w:sz w:val="24"/>
          <w:szCs w:val="24"/>
        </w:rPr>
      </w:pPr>
    </w:p>
    <w:p w14:paraId="01BC3F7D" w14:textId="77777777" w:rsidR="00A37F87" w:rsidRDefault="00A37F87">
      <w:pPr>
        <w:rPr>
          <w:rFonts w:cstheme="minorHAnsi"/>
          <w:sz w:val="24"/>
          <w:szCs w:val="24"/>
        </w:rPr>
      </w:pPr>
    </w:p>
    <w:p w14:paraId="4FC90752" w14:textId="77777777" w:rsidR="005D3C51" w:rsidRPr="00FF5082" w:rsidRDefault="005D3C51">
      <w:pPr>
        <w:rPr>
          <w:rFonts w:ascii="Arial" w:hAnsi="Arial" w:cs="Arial"/>
          <w:b/>
          <w:sz w:val="24"/>
          <w:szCs w:val="24"/>
        </w:rPr>
      </w:pPr>
      <w:r w:rsidRPr="00FF5082">
        <w:rPr>
          <w:rFonts w:ascii="Arial" w:hAnsi="Arial" w:cs="Arial"/>
          <w:b/>
          <w:sz w:val="24"/>
          <w:szCs w:val="24"/>
        </w:rPr>
        <w:t xml:space="preserve">Invest NI Equality Action Plan </w:t>
      </w:r>
    </w:p>
    <w:p w14:paraId="28D04B67" w14:textId="77777777" w:rsidR="005D3C51" w:rsidRDefault="005D3C51">
      <w:pPr>
        <w:rPr>
          <w:rFonts w:ascii="Arial" w:hAnsi="Arial" w:cs="Arial"/>
          <w:b/>
          <w:sz w:val="24"/>
          <w:szCs w:val="24"/>
        </w:rPr>
      </w:pPr>
      <w:r w:rsidRPr="00FF5082">
        <w:rPr>
          <w:rFonts w:ascii="Arial" w:hAnsi="Arial" w:cs="Arial"/>
          <w:b/>
          <w:sz w:val="24"/>
          <w:szCs w:val="24"/>
        </w:rPr>
        <w:t>Revised Annually</w:t>
      </w:r>
    </w:p>
    <w:tbl>
      <w:tblPr>
        <w:tblW w:w="9915" w:type="dxa"/>
        <w:tblCellMar>
          <w:left w:w="0" w:type="dxa"/>
          <w:right w:w="0" w:type="dxa"/>
        </w:tblCellMar>
        <w:tblLook w:val="04A0" w:firstRow="1" w:lastRow="0" w:firstColumn="1" w:lastColumn="0" w:noHBand="0" w:noVBand="1"/>
      </w:tblPr>
      <w:tblGrid>
        <w:gridCol w:w="2074"/>
        <w:gridCol w:w="2071"/>
        <w:gridCol w:w="3361"/>
        <w:gridCol w:w="2409"/>
      </w:tblGrid>
      <w:tr w:rsidR="001F4CFB" w14:paraId="0F401E7F" w14:textId="77777777" w:rsidTr="001F4CFB">
        <w:trPr>
          <w:trHeight w:val="300"/>
        </w:trPr>
        <w:tc>
          <w:tcPr>
            <w:tcW w:w="2075" w:type="dxa"/>
            <w:tcBorders>
              <w:top w:val="single" w:sz="8" w:space="0" w:color="666666"/>
              <w:left w:val="single" w:sz="8" w:space="0" w:color="666666"/>
              <w:bottom w:val="single" w:sz="12" w:space="0" w:color="666666"/>
              <w:right w:val="single" w:sz="8" w:space="0" w:color="666666"/>
            </w:tcBorders>
            <w:shd w:val="clear" w:color="auto" w:fill="747474"/>
            <w:tcMar>
              <w:top w:w="0" w:type="dxa"/>
              <w:left w:w="108" w:type="dxa"/>
              <w:bottom w:w="0" w:type="dxa"/>
              <w:right w:w="108" w:type="dxa"/>
            </w:tcMar>
            <w:hideMark/>
          </w:tcPr>
          <w:p w14:paraId="435C53C9" w14:textId="77777777" w:rsidR="001F4CFB" w:rsidRDefault="001F4CFB">
            <w:pPr>
              <w:jc w:val="center"/>
              <w:rPr>
                <w:rFonts w:ascii="Arial" w:hAnsi="Arial" w:cs="Arial"/>
                <w:b/>
                <w:bCs/>
                <w:color w:val="FFFFFF"/>
                <w:sz w:val="20"/>
                <w:szCs w:val="20"/>
              </w:rPr>
            </w:pPr>
            <w:r>
              <w:rPr>
                <w:rFonts w:ascii="Arial" w:hAnsi="Arial" w:cs="Arial"/>
                <w:b/>
                <w:bCs/>
                <w:color w:val="FFFFFF"/>
                <w:sz w:val="20"/>
                <w:szCs w:val="20"/>
              </w:rPr>
              <w:t>Overarching Goals</w:t>
            </w:r>
          </w:p>
        </w:tc>
        <w:tc>
          <w:tcPr>
            <w:tcW w:w="2071" w:type="dxa"/>
            <w:tcBorders>
              <w:top w:val="single" w:sz="8" w:space="0" w:color="666666"/>
              <w:left w:val="nil"/>
              <w:bottom w:val="single" w:sz="12" w:space="0" w:color="666666"/>
              <w:right w:val="single" w:sz="8" w:space="0" w:color="666666"/>
            </w:tcBorders>
            <w:shd w:val="clear" w:color="auto" w:fill="747474"/>
            <w:tcMar>
              <w:top w:w="0" w:type="dxa"/>
              <w:left w:w="108" w:type="dxa"/>
              <w:bottom w:w="0" w:type="dxa"/>
              <w:right w:w="108" w:type="dxa"/>
            </w:tcMar>
            <w:hideMark/>
          </w:tcPr>
          <w:p w14:paraId="48070F73" w14:textId="77777777" w:rsidR="001F4CFB" w:rsidRDefault="001F4CFB">
            <w:pPr>
              <w:jc w:val="center"/>
              <w:rPr>
                <w:rFonts w:ascii="Arial" w:hAnsi="Arial" w:cs="Arial"/>
                <w:b/>
                <w:bCs/>
                <w:color w:val="FFFFFF"/>
                <w:sz w:val="20"/>
                <w:szCs w:val="20"/>
              </w:rPr>
            </w:pPr>
            <w:r>
              <w:rPr>
                <w:rFonts w:ascii="Arial" w:hAnsi="Arial" w:cs="Arial"/>
                <w:b/>
                <w:bCs/>
                <w:color w:val="FFFFFF"/>
                <w:sz w:val="20"/>
                <w:szCs w:val="20"/>
              </w:rPr>
              <w:t>Key Indicators</w:t>
            </w:r>
          </w:p>
        </w:tc>
        <w:tc>
          <w:tcPr>
            <w:tcW w:w="3362" w:type="dxa"/>
            <w:tcBorders>
              <w:top w:val="single" w:sz="8" w:space="0" w:color="666666"/>
              <w:left w:val="nil"/>
              <w:bottom w:val="single" w:sz="12" w:space="0" w:color="666666"/>
              <w:right w:val="single" w:sz="8" w:space="0" w:color="666666"/>
            </w:tcBorders>
            <w:shd w:val="clear" w:color="auto" w:fill="747474"/>
            <w:tcMar>
              <w:top w:w="0" w:type="dxa"/>
              <w:left w:w="108" w:type="dxa"/>
              <w:bottom w:w="0" w:type="dxa"/>
              <w:right w:w="108" w:type="dxa"/>
            </w:tcMar>
            <w:hideMark/>
          </w:tcPr>
          <w:p w14:paraId="51E888EA" w14:textId="77777777" w:rsidR="001F4CFB" w:rsidRDefault="001F4CFB">
            <w:pPr>
              <w:jc w:val="center"/>
              <w:rPr>
                <w:rFonts w:ascii="Arial" w:hAnsi="Arial" w:cs="Arial"/>
                <w:b/>
                <w:bCs/>
                <w:color w:val="FFFFFF"/>
                <w:sz w:val="20"/>
                <w:szCs w:val="20"/>
              </w:rPr>
            </w:pPr>
            <w:r>
              <w:rPr>
                <w:rFonts w:ascii="Arial" w:hAnsi="Arial" w:cs="Arial"/>
                <w:b/>
                <w:bCs/>
                <w:color w:val="FFFFFF"/>
                <w:sz w:val="20"/>
                <w:szCs w:val="20"/>
              </w:rPr>
              <w:t>Measures</w:t>
            </w:r>
          </w:p>
        </w:tc>
        <w:tc>
          <w:tcPr>
            <w:tcW w:w="2410" w:type="dxa"/>
            <w:tcBorders>
              <w:top w:val="single" w:sz="8" w:space="0" w:color="666666"/>
              <w:left w:val="nil"/>
              <w:bottom w:val="single" w:sz="12" w:space="0" w:color="666666"/>
              <w:right w:val="single" w:sz="8" w:space="0" w:color="666666"/>
            </w:tcBorders>
            <w:shd w:val="clear" w:color="auto" w:fill="747474"/>
            <w:tcMar>
              <w:top w:w="0" w:type="dxa"/>
              <w:left w:w="108" w:type="dxa"/>
              <w:bottom w:w="0" w:type="dxa"/>
              <w:right w:w="108" w:type="dxa"/>
            </w:tcMar>
            <w:hideMark/>
          </w:tcPr>
          <w:p w14:paraId="60D9668D" w14:textId="77777777" w:rsidR="001F4CFB" w:rsidRDefault="001F4CFB">
            <w:pPr>
              <w:jc w:val="center"/>
              <w:rPr>
                <w:rFonts w:ascii="Arial" w:hAnsi="Arial" w:cs="Arial"/>
                <w:b/>
                <w:bCs/>
                <w:color w:val="FFFFFF"/>
                <w:sz w:val="20"/>
                <w:szCs w:val="20"/>
              </w:rPr>
            </w:pPr>
            <w:r>
              <w:rPr>
                <w:rFonts w:ascii="Arial" w:hAnsi="Arial" w:cs="Arial"/>
                <w:b/>
                <w:bCs/>
                <w:color w:val="FFFFFF"/>
                <w:sz w:val="20"/>
                <w:szCs w:val="20"/>
              </w:rPr>
              <w:t>Timescales</w:t>
            </w:r>
          </w:p>
        </w:tc>
      </w:tr>
      <w:tr w:rsidR="001F4CFB" w14:paraId="1D6AD810" w14:textId="77777777" w:rsidTr="001F4CFB">
        <w:trPr>
          <w:trHeight w:val="645"/>
        </w:trPr>
        <w:tc>
          <w:tcPr>
            <w:tcW w:w="2075" w:type="dxa"/>
            <w:vMerge w:val="restart"/>
            <w:tcBorders>
              <w:top w:val="nil"/>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29DE9780" w14:textId="77777777" w:rsidR="001F4CFB" w:rsidRDefault="001F4CFB">
            <w:pPr>
              <w:spacing w:line="252" w:lineRule="auto"/>
              <w:rPr>
                <w:rFonts w:ascii="Arial" w:hAnsi="Arial" w:cs="Arial"/>
                <w:b/>
                <w:bCs/>
                <w:color w:val="3A3A3A"/>
                <w:sz w:val="20"/>
                <w:szCs w:val="20"/>
              </w:rPr>
            </w:pPr>
            <w:r>
              <w:rPr>
                <w:rFonts w:ascii="Arial" w:hAnsi="Arial" w:cs="Arial"/>
                <w:b/>
                <w:bCs/>
                <w:color w:val="3A3A3A"/>
                <w:sz w:val="20"/>
                <w:szCs w:val="20"/>
              </w:rPr>
              <w:t xml:space="preserve">Embed equality and diversity within Invest NI’s Core Business </w:t>
            </w:r>
          </w:p>
        </w:tc>
        <w:tc>
          <w:tcPr>
            <w:tcW w:w="2071" w:type="dxa"/>
            <w:vMerge w:val="restart"/>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5B66C72A" w14:textId="77777777" w:rsidR="001F4CFB" w:rsidRDefault="001F4CFB">
            <w:pPr>
              <w:spacing w:line="252" w:lineRule="auto"/>
              <w:rPr>
                <w:rFonts w:ascii="Arial" w:hAnsi="Arial" w:cs="Arial"/>
                <w:b/>
                <w:bCs/>
                <w:color w:val="3A3A3A"/>
                <w:sz w:val="20"/>
                <w:szCs w:val="20"/>
              </w:rPr>
            </w:pPr>
            <w:r>
              <w:rPr>
                <w:rFonts w:ascii="Arial" w:hAnsi="Arial" w:cs="Arial"/>
                <w:color w:val="3A3A3A"/>
                <w:sz w:val="20"/>
                <w:szCs w:val="20"/>
              </w:rPr>
              <w:t>Raise awareness of equality obligations within Invest NI.</w:t>
            </w:r>
          </w:p>
        </w:tc>
        <w:tc>
          <w:tcPr>
            <w:tcW w:w="3362"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10F382E8" w14:textId="77777777" w:rsidR="001F4CFB" w:rsidRDefault="001F4CFB">
            <w:pPr>
              <w:spacing w:line="252" w:lineRule="auto"/>
              <w:rPr>
                <w:rFonts w:ascii="Arial" w:hAnsi="Arial" w:cs="Arial"/>
                <w:b/>
                <w:bCs/>
                <w:color w:val="3A3A3A"/>
                <w:sz w:val="20"/>
                <w:szCs w:val="20"/>
              </w:rPr>
            </w:pPr>
            <w:r>
              <w:rPr>
                <w:rFonts w:ascii="Arial" w:hAnsi="Arial" w:cs="Arial"/>
                <w:color w:val="3A3A3A"/>
                <w:sz w:val="20"/>
                <w:szCs w:val="20"/>
              </w:rPr>
              <w:t>Induction training for all new staff when they join the organisation to include Section 75 and associated obligations.</w:t>
            </w:r>
          </w:p>
        </w:tc>
        <w:tc>
          <w:tcPr>
            <w:tcW w:w="2410"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68F1C04A" w14:textId="77777777" w:rsidR="001F4CFB" w:rsidRDefault="001F4CFB">
            <w:pPr>
              <w:spacing w:line="252" w:lineRule="auto"/>
              <w:rPr>
                <w:rFonts w:ascii="Arial" w:hAnsi="Arial" w:cs="Arial"/>
                <w:b/>
                <w:bCs/>
                <w:color w:val="3A3A3A"/>
                <w:sz w:val="20"/>
                <w:szCs w:val="20"/>
              </w:rPr>
            </w:pPr>
            <w:r>
              <w:rPr>
                <w:rFonts w:ascii="Arial" w:hAnsi="Arial" w:cs="Arial"/>
                <w:color w:val="3A3A3A"/>
                <w:sz w:val="20"/>
                <w:szCs w:val="20"/>
              </w:rPr>
              <w:t>Staff to complete induction training within 3 months of commencing employment.</w:t>
            </w:r>
          </w:p>
        </w:tc>
      </w:tr>
      <w:tr w:rsidR="001F4CFB" w14:paraId="035EA229" w14:textId="77777777" w:rsidTr="001F4CFB">
        <w:trPr>
          <w:trHeight w:val="60"/>
        </w:trPr>
        <w:tc>
          <w:tcPr>
            <w:tcW w:w="0" w:type="auto"/>
            <w:vMerge/>
            <w:tcBorders>
              <w:top w:val="nil"/>
              <w:left w:val="single" w:sz="8" w:space="0" w:color="666666"/>
              <w:bottom w:val="single" w:sz="8" w:space="0" w:color="666666"/>
              <w:right w:val="single" w:sz="8" w:space="0" w:color="666666"/>
            </w:tcBorders>
            <w:vAlign w:val="center"/>
            <w:hideMark/>
          </w:tcPr>
          <w:p w14:paraId="26EF96FC" w14:textId="77777777" w:rsidR="001F4CFB" w:rsidRDefault="001F4CFB">
            <w:pPr>
              <w:rPr>
                <w:rFonts w:ascii="Arial" w:hAnsi="Arial" w:cs="Arial"/>
                <w:b/>
                <w:bCs/>
                <w:color w:val="3A3A3A"/>
                <w:sz w:val="20"/>
                <w:szCs w:val="20"/>
              </w:rPr>
            </w:pPr>
          </w:p>
        </w:tc>
        <w:tc>
          <w:tcPr>
            <w:tcW w:w="0" w:type="auto"/>
            <w:vMerge/>
            <w:tcBorders>
              <w:top w:val="nil"/>
              <w:left w:val="nil"/>
              <w:bottom w:val="single" w:sz="8" w:space="0" w:color="666666"/>
              <w:right w:val="single" w:sz="8" w:space="0" w:color="666666"/>
            </w:tcBorders>
            <w:vAlign w:val="center"/>
            <w:hideMark/>
          </w:tcPr>
          <w:p w14:paraId="50800BBA" w14:textId="77777777" w:rsidR="001F4CFB" w:rsidRDefault="001F4CFB">
            <w:pPr>
              <w:rPr>
                <w:rFonts w:ascii="Arial" w:hAnsi="Arial" w:cs="Arial"/>
                <w:b/>
                <w:bCs/>
                <w:color w:val="3A3A3A"/>
                <w:sz w:val="20"/>
                <w:szCs w:val="20"/>
              </w:rPr>
            </w:pPr>
          </w:p>
        </w:tc>
        <w:tc>
          <w:tcPr>
            <w:tcW w:w="3362" w:type="dxa"/>
            <w:tcBorders>
              <w:top w:val="nil"/>
              <w:left w:val="nil"/>
              <w:bottom w:val="single" w:sz="8" w:space="0" w:color="666666"/>
              <w:right w:val="single" w:sz="8" w:space="0" w:color="666666"/>
            </w:tcBorders>
            <w:tcMar>
              <w:top w:w="0" w:type="dxa"/>
              <w:left w:w="108" w:type="dxa"/>
              <w:bottom w:w="0" w:type="dxa"/>
              <w:right w:w="108" w:type="dxa"/>
            </w:tcMar>
            <w:hideMark/>
          </w:tcPr>
          <w:p w14:paraId="5B4EB1AA" w14:textId="77777777" w:rsidR="001F4CFB" w:rsidRDefault="001F4CFB">
            <w:pPr>
              <w:spacing w:line="252" w:lineRule="auto"/>
              <w:rPr>
                <w:rFonts w:ascii="Arial" w:hAnsi="Arial" w:cs="Arial"/>
                <w:b/>
                <w:bCs/>
                <w:color w:val="3A3A3A"/>
                <w:sz w:val="20"/>
                <w:szCs w:val="20"/>
              </w:rPr>
            </w:pPr>
            <w:r>
              <w:rPr>
                <w:rFonts w:ascii="Arial" w:hAnsi="Arial" w:cs="Arial"/>
                <w:color w:val="3A3A3A"/>
                <w:sz w:val="20"/>
                <w:szCs w:val="20"/>
              </w:rPr>
              <w:t xml:space="preserve">100% of Invest NI staff trained in Equality, Diversity and Inclusion. </w:t>
            </w:r>
          </w:p>
        </w:tc>
        <w:tc>
          <w:tcPr>
            <w:tcW w:w="2410" w:type="dxa"/>
            <w:tcBorders>
              <w:top w:val="nil"/>
              <w:left w:val="nil"/>
              <w:bottom w:val="single" w:sz="8" w:space="0" w:color="666666"/>
              <w:right w:val="single" w:sz="8" w:space="0" w:color="666666"/>
            </w:tcBorders>
            <w:tcMar>
              <w:top w:w="0" w:type="dxa"/>
              <w:left w:w="108" w:type="dxa"/>
              <w:bottom w:w="0" w:type="dxa"/>
              <w:right w:w="108" w:type="dxa"/>
            </w:tcMar>
            <w:hideMark/>
          </w:tcPr>
          <w:p w14:paraId="7502B174" w14:textId="3C08937D" w:rsidR="001F4CFB" w:rsidRDefault="001F4CFB">
            <w:pPr>
              <w:spacing w:line="252" w:lineRule="auto"/>
              <w:rPr>
                <w:rFonts w:ascii="Arial" w:hAnsi="Arial" w:cs="Arial"/>
                <w:b/>
                <w:bCs/>
                <w:color w:val="3A3A3A"/>
                <w:sz w:val="20"/>
                <w:szCs w:val="20"/>
              </w:rPr>
            </w:pPr>
            <w:r>
              <w:rPr>
                <w:rFonts w:ascii="Arial" w:hAnsi="Arial" w:cs="Arial"/>
                <w:color w:val="3A3A3A"/>
                <w:sz w:val="20"/>
                <w:szCs w:val="20"/>
              </w:rPr>
              <w:t xml:space="preserve">Mandatory refresher training </w:t>
            </w:r>
            <w:r>
              <w:rPr>
                <w:rFonts w:ascii="Arial" w:hAnsi="Arial" w:cs="Arial"/>
                <w:color w:val="3A3A3A"/>
                <w:sz w:val="20"/>
                <w:szCs w:val="20"/>
              </w:rPr>
              <w:t xml:space="preserve">annually </w:t>
            </w:r>
            <w:r>
              <w:rPr>
                <w:rFonts w:ascii="Arial" w:hAnsi="Arial" w:cs="Arial"/>
                <w:color w:val="3A3A3A"/>
                <w:sz w:val="20"/>
                <w:szCs w:val="20"/>
              </w:rPr>
              <w:t>for existing staff.</w:t>
            </w:r>
          </w:p>
        </w:tc>
      </w:tr>
      <w:tr w:rsidR="001F4CFB" w14:paraId="4AEBC14F" w14:textId="77777777" w:rsidTr="001F4CFB">
        <w:trPr>
          <w:trHeight w:val="60"/>
        </w:trPr>
        <w:tc>
          <w:tcPr>
            <w:tcW w:w="0" w:type="auto"/>
            <w:vMerge/>
            <w:tcBorders>
              <w:top w:val="nil"/>
              <w:left w:val="single" w:sz="8" w:space="0" w:color="666666"/>
              <w:bottom w:val="single" w:sz="8" w:space="0" w:color="666666"/>
              <w:right w:val="single" w:sz="8" w:space="0" w:color="666666"/>
            </w:tcBorders>
            <w:vAlign w:val="center"/>
            <w:hideMark/>
          </w:tcPr>
          <w:p w14:paraId="607FAB7A" w14:textId="77777777" w:rsidR="001F4CFB" w:rsidRDefault="001F4CFB">
            <w:pPr>
              <w:rPr>
                <w:rFonts w:ascii="Arial" w:hAnsi="Arial" w:cs="Arial"/>
                <w:b/>
                <w:bCs/>
                <w:color w:val="3A3A3A"/>
                <w:sz w:val="20"/>
                <w:szCs w:val="20"/>
              </w:rPr>
            </w:pPr>
          </w:p>
        </w:tc>
        <w:tc>
          <w:tcPr>
            <w:tcW w:w="2071" w:type="dxa"/>
            <w:vMerge w:val="restart"/>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1CE24416" w14:textId="77777777" w:rsidR="001F4CFB" w:rsidRDefault="001F4CFB">
            <w:pPr>
              <w:spacing w:line="252" w:lineRule="auto"/>
              <w:rPr>
                <w:rFonts w:ascii="Arial" w:hAnsi="Arial" w:cs="Arial"/>
                <w:b/>
                <w:bCs/>
                <w:color w:val="3A3A3A"/>
                <w:sz w:val="20"/>
                <w:szCs w:val="20"/>
              </w:rPr>
            </w:pPr>
            <w:r>
              <w:rPr>
                <w:rFonts w:ascii="Arial" w:hAnsi="Arial" w:cs="Arial"/>
                <w:color w:val="3A3A3A"/>
                <w:sz w:val="20"/>
                <w:szCs w:val="20"/>
              </w:rPr>
              <w:t>Fully embed and integrate Section 75 and associated obligations (such as Rural Proofing) within Invest NI’s business planning process.</w:t>
            </w:r>
          </w:p>
        </w:tc>
        <w:tc>
          <w:tcPr>
            <w:tcW w:w="3362"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2F5AAE86" w14:textId="77777777" w:rsidR="001F4CFB" w:rsidRDefault="001F4CFB">
            <w:pPr>
              <w:spacing w:line="252" w:lineRule="auto"/>
              <w:rPr>
                <w:rFonts w:ascii="Arial" w:hAnsi="Arial" w:cs="Arial"/>
                <w:b/>
                <w:bCs/>
                <w:color w:val="3A3A3A"/>
                <w:sz w:val="20"/>
                <w:szCs w:val="20"/>
              </w:rPr>
            </w:pPr>
            <w:r>
              <w:rPr>
                <w:rFonts w:ascii="Arial" w:hAnsi="Arial" w:cs="Arial"/>
                <w:color w:val="3A3A3A"/>
                <w:sz w:val="20"/>
                <w:szCs w:val="20"/>
              </w:rPr>
              <w:t>Formally review Invest NI’s Business Strategy EQIA on an annual basis as part of our business planning process.</w:t>
            </w:r>
          </w:p>
        </w:tc>
        <w:tc>
          <w:tcPr>
            <w:tcW w:w="2410"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44E61CCD" w14:textId="77777777" w:rsidR="001F4CFB" w:rsidRDefault="001F4CFB">
            <w:pPr>
              <w:spacing w:line="252" w:lineRule="auto"/>
              <w:rPr>
                <w:rFonts w:ascii="Arial" w:hAnsi="Arial" w:cs="Arial"/>
                <w:b/>
                <w:bCs/>
                <w:color w:val="3A3A3A"/>
                <w:sz w:val="20"/>
                <w:szCs w:val="20"/>
              </w:rPr>
            </w:pPr>
            <w:r>
              <w:rPr>
                <w:rFonts w:ascii="Arial" w:hAnsi="Arial" w:cs="Arial"/>
                <w:color w:val="3A3A3A"/>
                <w:sz w:val="20"/>
                <w:szCs w:val="20"/>
              </w:rPr>
              <w:t xml:space="preserve">Annual business planning process. </w:t>
            </w:r>
          </w:p>
        </w:tc>
      </w:tr>
      <w:tr w:rsidR="001F4CFB" w14:paraId="53B85953" w14:textId="77777777" w:rsidTr="001F4CFB">
        <w:trPr>
          <w:trHeight w:val="60"/>
        </w:trPr>
        <w:tc>
          <w:tcPr>
            <w:tcW w:w="0" w:type="auto"/>
            <w:vMerge/>
            <w:tcBorders>
              <w:top w:val="nil"/>
              <w:left w:val="single" w:sz="8" w:space="0" w:color="666666"/>
              <w:bottom w:val="single" w:sz="8" w:space="0" w:color="666666"/>
              <w:right w:val="single" w:sz="8" w:space="0" w:color="666666"/>
            </w:tcBorders>
            <w:vAlign w:val="center"/>
            <w:hideMark/>
          </w:tcPr>
          <w:p w14:paraId="5163CF90" w14:textId="77777777" w:rsidR="001F4CFB" w:rsidRDefault="001F4CFB">
            <w:pPr>
              <w:rPr>
                <w:rFonts w:ascii="Arial" w:hAnsi="Arial" w:cs="Arial"/>
                <w:b/>
                <w:bCs/>
                <w:color w:val="3A3A3A"/>
                <w:sz w:val="20"/>
                <w:szCs w:val="20"/>
              </w:rPr>
            </w:pPr>
          </w:p>
        </w:tc>
        <w:tc>
          <w:tcPr>
            <w:tcW w:w="0" w:type="auto"/>
            <w:vMerge/>
            <w:tcBorders>
              <w:top w:val="nil"/>
              <w:left w:val="nil"/>
              <w:bottom w:val="single" w:sz="8" w:space="0" w:color="666666"/>
              <w:right w:val="single" w:sz="8" w:space="0" w:color="666666"/>
            </w:tcBorders>
            <w:vAlign w:val="center"/>
            <w:hideMark/>
          </w:tcPr>
          <w:p w14:paraId="7D1E954F" w14:textId="77777777" w:rsidR="001F4CFB" w:rsidRDefault="001F4CFB">
            <w:pPr>
              <w:rPr>
                <w:rFonts w:ascii="Arial" w:hAnsi="Arial" w:cs="Arial"/>
                <w:b/>
                <w:bCs/>
                <w:color w:val="3A3A3A"/>
                <w:sz w:val="20"/>
                <w:szCs w:val="20"/>
              </w:rPr>
            </w:pPr>
          </w:p>
        </w:tc>
        <w:tc>
          <w:tcPr>
            <w:tcW w:w="3362" w:type="dxa"/>
            <w:tcBorders>
              <w:top w:val="nil"/>
              <w:left w:val="nil"/>
              <w:bottom w:val="single" w:sz="8" w:space="0" w:color="666666"/>
              <w:right w:val="single" w:sz="8" w:space="0" w:color="666666"/>
            </w:tcBorders>
            <w:tcMar>
              <w:top w:w="0" w:type="dxa"/>
              <w:left w:w="108" w:type="dxa"/>
              <w:bottom w:w="0" w:type="dxa"/>
              <w:right w:w="108" w:type="dxa"/>
            </w:tcMar>
            <w:hideMark/>
          </w:tcPr>
          <w:p w14:paraId="1952FB47" w14:textId="77777777" w:rsidR="001F4CFB" w:rsidRDefault="001F4CFB">
            <w:pPr>
              <w:spacing w:line="252" w:lineRule="auto"/>
              <w:rPr>
                <w:rFonts w:ascii="Arial" w:hAnsi="Arial" w:cs="Arial"/>
                <w:b/>
                <w:bCs/>
                <w:color w:val="3A3A3A"/>
                <w:sz w:val="20"/>
                <w:szCs w:val="20"/>
              </w:rPr>
            </w:pPr>
            <w:r>
              <w:rPr>
                <w:rFonts w:ascii="Arial" w:hAnsi="Arial" w:cs="Arial"/>
                <w:color w:val="3A3A3A"/>
                <w:sz w:val="20"/>
                <w:szCs w:val="20"/>
              </w:rPr>
              <w:t>Equality obligations to be addressed within business strategy and business plan.</w:t>
            </w:r>
          </w:p>
        </w:tc>
        <w:tc>
          <w:tcPr>
            <w:tcW w:w="2410" w:type="dxa"/>
            <w:tcBorders>
              <w:top w:val="nil"/>
              <w:left w:val="nil"/>
              <w:bottom w:val="single" w:sz="8" w:space="0" w:color="666666"/>
              <w:right w:val="single" w:sz="8" w:space="0" w:color="666666"/>
            </w:tcBorders>
            <w:tcMar>
              <w:top w:w="0" w:type="dxa"/>
              <w:left w:w="108" w:type="dxa"/>
              <w:bottom w:w="0" w:type="dxa"/>
              <w:right w:w="108" w:type="dxa"/>
            </w:tcMar>
            <w:hideMark/>
          </w:tcPr>
          <w:p w14:paraId="1F7E84C6" w14:textId="77777777" w:rsidR="001F4CFB" w:rsidRDefault="001F4CFB">
            <w:pPr>
              <w:spacing w:line="252" w:lineRule="auto"/>
              <w:rPr>
                <w:rFonts w:ascii="Arial" w:hAnsi="Arial" w:cs="Arial"/>
                <w:b/>
                <w:bCs/>
                <w:color w:val="3A3A3A"/>
                <w:sz w:val="20"/>
                <w:szCs w:val="20"/>
              </w:rPr>
            </w:pPr>
            <w:r>
              <w:rPr>
                <w:rFonts w:ascii="Arial" w:hAnsi="Arial" w:cs="Arial"/>
                <w:color w:val="3A3A3A"/>
                <w:sz w:val="20"/>
                <w:szCs w:val="20"/>
              </w:rPr>
              <w:t xml:space="preserve">Annual business planning process. </w:t>
            </w:r>
          </w:p>
        </w:tc>
      </w:tr>
      <w:tr w:rsidR="001F4CFB" w14:paraId="2C8311C4" w14:textId="77777777" w:rsidTr="001F4CFB">
        <w:trPr>
          <w:trHeight w:val="60"/>
        </w:trPr>
        <w:tc>
          <w:tcPr>
            <w:tcW w:w="0" w:type="auto"/>
            <w:vMerge/>
            <w:tcBorders>
              <w:top w:val="nil"/>
              <w:left w:val="single" w:sz="8" w:space="0" w:color="666666"/>
              <w:bottom w:val="single" w:sz="8" w:space="0" w:color="666666"/>
              <w:right w:val="single" w:sz="8" w:space="0" w:color="666666"/>
            </w:tcBorders>
            <w:vAlign w:val="center"/>
            <w:hideMark/>
          </w:tcPr>
          <w:p w14:paraId="6247A43C" w14:textId="77777777" w:rsidR="001F4CFB" w:rsidRDefault="001F4CFB">
            <w:pPr>
              <w:rPr>
                <w:rFonts w:ascii="Arial" w:hAnsi="Arial" w:cs="Arial"/>
                <w:b/>
                <w:bCs/>
                <w:color w:val="3A3A3A"/>
                <w:sz w:val="20"/>
                <w:szCs w:val="20"/>
              </w:rPr>
            </w:pPr>
          </w:p>
        </w:tc>
        <w:tc>
          <w:tcPr>
            <w:tcW w:w="0" w:type="auto"/>
            <w:vMerge/>
            <w:tcBorders>
              <w:top w:val="nil"/>
              <w:left w:val="nil"/>
              <w:bottom w:val="single" w:sz="8" w:space="0" w:color="666666"/>
              <w:right w:val="single" w:sz="8" w:space="0" w:color="666666"/>
            </w:tcBorders>
            <w:vAlign w:val="center"/>
            <w:hideMark/>
          </w:tcPr>
          <w:p w14:paraId="71747EE4" w14:textId="77777777" w:rsidR="001F4CFB" w:rsidRDefault="001F4CFB">
            <w:pPr>
              <w:rPr>
                <w:rFonts w:ascii="Arial" w:hAnsi="Arial" w:cs="Arial"/>
                <w:b/>
                <w:bCs/>
                <w:color w:val="3A3A3A"/>
                <w:sz w:val="20"/>
                <w:szCs w:val="20"/>
              </w:rPr>
            </w:pPr>
          </w:p>
        </w:tc>
        <w:tc>
          <w:tcPr>
            <w:tcW w:w="3362"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1D34DCA7" w14:textId="77777777" w:rsidR="001F4CFB" w:rsidRDefault="001F4CFB">
            <w:pPr>
              <w:spacing w:line="252" w:lineRule="auto"/>
              <w:rPr>
                <w:rFonts w:ascii="Arial" w:hAnsi="Arial" w:cs="Arial"/>
                <w:b/>
                <w:bCs/>
                <w:color w:val="3A3A3A"/>
                <w:sz w:val="20"/>
                <w:szCs w:val="20"/>
              </w:rPr>
            </w:pPr>
            <w:r>
              <w:rPr>
                <w:rFonts w:ascii="Arial" w:hAnsi="Arial" w:cs="Arial"/>
                <w:color w:val="3A3A3A"/>
                <w:sz w:val="20"/>
                <w:szCs w:val="20"/>
              </w:rPr>
              <w:t>Review and refresh all Section 75 and associated policies to reflect on new Business Strategy.</w:t>
            </w:r>
          </w:p>
        </w:tc>
        <w:tc>
          <w:tcPr>
            <w:tcW w:w="2410"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1001B4D5" w14:textId="77777777" w:rsidR="001F4CFB" w:rsidRDefault="001F4CFB">
            <w:pPr>
              <w:spacing w:line="252" w:lineRule="auto"/>
              <w:rPr>
                <w:rFonts w:ascii="Arial" w:hAnsi="Arial" w:cs="Arial"/>
                <w:b/>
                <w:bCs/>
                <w:color w:val="3A3A3A"/>
                <w:sz w:val="20"/>
                <w:szCs w:val="20"/>
              </w:rPr>
            </w:pPr>
            <w:r>
              <w:rPr>
                <w:rFonts w:ascii="Arial" w:hAnsi="Arial" w:cs="Arial"/>
                <w:color w:val="3A3A3A"/>
                <w:sz w:val="20"/>
                <w:szCs w:val="20"/>
              </w:rPr>
              <w:t>Completed over course of new Strategy period.</w:t>
            </w:r>
          </w:p>
        </w:tc>
      </w:tr>
      <w:tr w:rsidR="001F4CFB" w14:paraId="1A4DB438" w14:textId="77777777" w:rsidTr="001F4CFB">
        <w:trPr>
          <w:trHeight w:val="60"/>
        </w:trPr>
        <w:tc>
          <w:tcPr>
            <w:tcW w:w="2075" w:type="dxa"/>
            <w:vMerge w:val="restart"/>
            <w:tcBorders>
              <w:top w:val="nil"/>
              <w:left w:val="single" w:sz="8" w:space="0" w:color="666666"/>
              <w:bottom w:val="single" w:sz="8" w:space="0" w:color="666666"/>
              <w:right w:val="single" w:sz="8" w:space="0" w:color="666666"/>
            </w:tcBorders>
            <w:tcMar>
              <w:top w:w="0" w:type="dxa"/>
              <w:left w:w="108" w:type="dxa"/>
              <w:bottom w:w="0" w:type="dxa"/>
              <w:right w:w="108" w:type="dxa"/>
            </w:tcMar>
          </w:tcPr>
          <w:p w14:paraId="3B4D637F" w14:textId="77777777" w:rsidR="001F4CFB" w:rsidRDefault="001F4CFB">
            <w:pPr>
              <w:spacing w:line="252" w:lineRule="auto"/>
              <w:rPr>
                <w:rFonts w:ascii="Arial" w:hAnsi="Arial" w:cs="Arial"/>
                <w:b/>
                <w:bCs/>
                <w:color w:val="3A3A3A"/>
                <w:sz w:val="20"/>
                <w:szCs w:val="20"/>
              </w:rPr>
            </w:pPr>
            <w:r>
              <w:rPr>
                <w:rFonts w:ascii="Arial" w:hAnsi="Arial" w:cs="Arial"/>
                <w:b/>
                <w:bCs/>
                <w:color w:val="3A3A3A"/>
                <w:sz w:val="20"/>
                <w:szCs w:val="20"/>
              </w:rPr>
              <w:t>Within Invest NI’s remit, contribute to addressing Inequalities within NI’s Labour Market:</w:t>
            </w:r>
          </w:p>
          <w:p w14:paraId="22EECA11" w14:textId="77777777" w:rsidR="001F4CFB" w:rsidRDefault="001F4CFB">
            <w:pPr>
              <w:spacing w:line="252" w:lineRule="auto"/>
              <w:rPr>
                <w:rFonts w:ascii="Arial" w:hAnsi="Arial" w:cs="Arial"/>
                <w:b/>
                <w:bCs/>
                <w:color w:val="3A3A3A"/>
                <w:sz w:val="20"/>
                <w:szCs w:val="20"/>
              </w:rPr>
            </w:pPr>
          </w:p>
          <w:p w14:paraId="3DCABA3A" w14:textId="77777777" w:rsidR="001F4CFB" w:rsidRDefault="001F4CFB" w:rsidP="001F4CFB">
            <w:pPr>
              <w:numPr>
                <w:ilvl w:val="0"/>
                <w:numId w:val="4"/>
              </w:numPr>
              <w:autoSpaceDN w:val="0"/>
              <w:spacing w:after="0" w:line="252" w:lineRule="auto"/>
              <w:ind w:left="414" w:hanging="414"/>
              <w:contextualSpacing/>
              <w:rPr>
                <w:rFonts w:ascii="Calibri" w:hAnsi="Calibri" w:cs="Calibri"/>
                <w:b/>
                <w:bCs/>
                <w:color w:val="3A3A3A"/>
                <w:sz w:val="20"/>
                <w:szCs w:val="20"/>
              </w:rPr>
            </w:pPr>
            <w:r>
              <w:rPr>
                <w:rFonts w:ascii="Calibri" w:hAnsi="Calibri" w:cs="Calibri"/>
                <w:b/>
                <w:bCs/>
                <w:color w:val="3A3A3A"/>
                <w:sz w:val="20"/>
                <w:szCs w:val="20"/>
              </w:rPr>
              <w:t>Gender Imbalance</w:t>
            </w:r>
          </w:p>
        </w:tc>
        <w:tc>
          <w:tcPr>
            <w:tcW w:w="2071" w:type="dxa"/>
            <w:vMerge w:val="restart"/>
            <w:tcBorders>
              <w:top w:val="nil"/>
              <w:left w:val="nil"/>
              <w:bottom w:val="single" w:sz="8" w:space="0" w:color="666666"/>
              <w:right w:val="single" w:sz="8" w:space="0" w:color="666666"/>
            </w:tcBorders>
            <w:tcMar>
              <w:top w:w="0" w:type="dxa"/>
              <w:left w:w="108" w:type="dxa"/>
              <w:bottom w:w="0" w:type="dxa"/>
              <w:right w:w="108" w:type="dxa"/>
            </w:tcMar>
            <w:hideMark/>
          </w:tcPr>
          <w:p w14:paraId="25572AEC" w14:textId="77777777" w:rsidR="001F4CFB" w:rsidRDefault="001F4CFB">
            <w:pPr>
              <w:spacing w:line="252" w:lineRule="auto"/>
              <w:rPr>
                <w:rFonts w:ascii="Arial" w:hAnsi="Arial" w:cs="Arial"/>
                <w:b/>
                <w:bCs/>
                <w:color w:val="3A3A3A"/>
                <w:sz w:val="20"/>
                <w:szCs w:val="20"/>
              </w:rPr>
            </w:pPr>
            <w:r>
              <w:rPr>
                <w:rFonts w:ascii="Arial" w:hAnsi="Arial" w:cs="Arial"/>
                <w:color w:val="3A3A3A"/>
                <w:sz w:val="20"/>
                <w:szCs w:val="20"/>
              </w:rPr>
              <w:t>Enhance and improve Invest NI’s capability to impact Gender imbalance within NI’s Labour Market.</w:t>
            </w:r>
          </w:p>
        </w:tc>
        <w:tc>
          <w:tcPr>
            <w:tcW w:w="3362" w:type="dxa"/>
            <w:tcBorders>
              <w:top w:val="nil"/>
              <w:left w:val="nil"/>
              <w:bottom w:val="single" w:sz="8" w:space="0" w:color="666666"/>
              <w:right w:val="single" w:sz="8" w:space="0" w:color="666666"/>
            </w:tcBorders>
            <w:tcMar>
              <w:top w:w="0" w:type="dxa"/>
              <w:left w:w="108" w:type="dxa"/>
              <w:bottom w:w="0" w:type="dxa"/>
              <w:right w:w="108" w:type="dxa"/>
            </w:tcMar>
            <w:hideMark/>
          </w:tcPr>
          <w:p w14:paraId="1C167023" w14:textId="77777777" w:rsidR="001F4CFB" w:rsidRDefault="001F4CFB">
            <w:pPr>
              <w:spacing w:line="252" w:lineRule="auto"/>
              <w:rPr>
                <w:rFonts w:ascii="Arial" w:hAnsi="Arial" w:cs="Arial"/>
                <w:b/>
                <w:bCs/>
                <w:color w:val="3A3A3A"/>
                <w:sz w:val="20"/>
                <w:szCs w:val="20"/>
              </w:rPr>
            </w:pPr>
            <w:r>
              <w:rPr>
                <w:rFonts w:ascii="Arial" w:hAnsi="Arial" w:cs="Arial"/>
                <w:color w:val="3A3A3A"/>
                <w:sz w:val="20"/>
                <w:szCs w:val="20"/>
              </w:rPr>
              <w:t>Review Invest NI’s current offering of gender specific initiatives and identify opportunities for new initiatives and / or enhancements.</w:t>
            </w:r>
          </w:p>
        </w:tc>
        <w:tc>
          <w:tcPr>
            <w:tcW w:w="2410" w:type="dxa"/>
            <w:tcBorders>
              <w:top w:val="nil"/>
              <w:left w:val="nil"/>
              <w:bottom w:val="single" w:sz="8" w:space="0" w:color="666666"/>
              <w:right w:val="single" w:sz="8" w:space="0" w:color="666666"/>
            </w:tcBorders>
            <w:tcMar>
              <w:top w:w="0" w:type="dxa"/>
              <w:left w:w="108" w:type="dxa"/>
              <w:bottom w:w="0" w:type="dxa"/>
              <w:right w:w="108" w:type="dxa"/>
            </w:tcMar>
          </w:tcPr>
          <w:p w14:paraId="23D89E5F" w14:textId="77777777" w:rsidR="001F4CFB" w:rsidRDefault="001F4CFB">
            <w:pPr>
              <w:spacing w:line="252" w:lineRule="auto"/>
              <w:rPr>
                <w:rFonts w:ascii="Arial" w:hAnsi="Arial" w:cs="Arial"/>
                <w:b/>
                <w:bCs/>
                <w:color w:val="3A3A3A"/>
                <w:sz w:val="20"/>
                <w:szCs w:val="20"/>
              </w:rPr>
            </w:pPr>
            <w:r>
              <w:rPr>
                <w:rFonts w:ascii="Arial" w:hAnsi="Arial" w:cs="Arial"/>
                <w:color w:val="3A3A3A"/>
                <w:sz w:val="20"/>
                <w:szCs w:val="20"/>
              </w:rPr>
              <w:t>Complete by 30</w:t>
            </w:r>
            <w:r>
              <w:rPr>
                <w:rFonts w:ascii="Arial" w:hAnsi="Arial" w:cs="Arial"/>
                <w:color w:val="3A3A3A"/>
                <w:sz w:val="20"/>
                <w:szCs w:val="20"/>
                <w:vertAlign w:val="superscript"/>
              </w:rPr>
              <w:t>th</w:t>
            </w:r>
            <w:r>
              <w:rPr>
                <w:rFonts w:ascii="Arial" w:hAnsi="Arial" w:cs="Arial"/>
                <w:color w:val="3A3A3A"/>
                <w:sz w:val="20"/>
                <w:szCs w:val="20"/>
              </w:rPr>
              <w:t xml:space="preserve"> June 2025.</w:t>
            </w:r>
          </w:p>
          <w:p w14:paraId="48406A11" w14:textId="77777777" w:rsidR="001F4CFB" w:rsidRDefault="001F4CFB">
            <w:pPr>
              <w:spacing w:line="252" w:lineRule="auto"/>
              <w:rPr>
                <w:rFonts w:ascii="Arial" w:hAnsi="Arial" w:cs="Arial"/>
                <w:b/>
                <w:bCs/>
                <w:color w:val="3A3A3A"/>
                <w:sz w:val="20"/>
                <w:szCs w:val="20"/>
              </w:rPr>
            </w:pPr>
          </w:p>
          <w:p w14:paraId="6A31F9EC" w14:textId="77777777" w:rsidR="001F4CFB" w:rsidRDefault="001F4CFB">
            <w:pPr>
              <w:spacing w:line="252" w:lineRule="auto"/>
              <w:rPr>
                <w:rFonts w:ascii="Arial" w:hAnsi="Arial" w:cs="Arial"/>
                <w:b/>
                <w:bCs/>
                <w:color w:val="3A3A3A"/>
                <w:sz w:val="20"/>
                <w:szCs w:val="20"/>
              </w:rPr>
            </w:pPr>
            <w:r>
              <w:rPr>
                <w:rFonts w:ascii="Arial" w:hAnsi="Arial" w:cs="Arial"/>
                <w:color w:val="3A3A3A"/>
                <w:sz w:val="20"/>
                <w:szCs w:val="20"/>
              </w:rPr>
              <w:t> </w:t>
            </w:r>
          </w:p>
        </w:tc>
      </w:tr>
      <w:tr w:rsidR="001F4CFB" w14:paraId="39A955A1" w14:textId="77777777" w:rsidTr="001F4CFB">
        <w:trPr>
          <w:trHeight w:val="60"/>
        </w:trPr>
        <w:tc>
          <w:tcPr>
            <w:tcW w:w="0" w:type="auto"/>
            <w:vMerge/>
            <w:tcBorders>
              <w:top w:val="nil"/>
              <w:left w:val="single" w:sz="8" w:space="0" w:color="666666"/>
              <w:bottom w:val="single" w:sz="8" w:space="0" w:color="666666"/>
              <w:right w:val="single" w:sz="8" w:space="0" w:color="666666"/>
            </w:tcBorders>
            <w:vAlign w:val="center"/>
            <w:hideMark/>
          </w:tcPr>
          <w:p w14:paraId="320787E2" w14:textId="77777777" w:rsidR="001F4CFB" w:rsidRDefault="001F4CFB">
            <w:pPr>
              <w:rPr>
                <w:rFonts w:ascii="Calibri" w:hAnsi="Calibri" w:cs="Calibri"/>
                <w:b/>
                <w:bCs/>
                <w:color w:val="3A3A3A"/>
                <w:sz w:val="20"/>
                <w:szCs w:val="20"/>
              </w:rPr>
            </w:pPr>
          </w:p>
        </w:tc>
        <w:tc>
          <w:tcPr>
            <w:tcW w:w="0" w:type="auto"/>
            <w:vMerge/>
            <w:tcBorders>
              <w:top w:val="nil"/>
              <w:left w:val="nil"/>
              <w:bottom w:val="single" w:sz="8" w:space="0" w:color="666666"/>
              <w:right w:val="single" w:sz="8" w:space="0" w:color="666666"/>
            </w:tcBorders>
            <w:vAlign w:val="center"/>
            <w:hideMark/>
          </w:tcPr>
          <w:p w14:paraId="65F4C423" w14:textId="77777777" w:rsidR="001F4CFB" w:rsidRDefault="001F4CFB">
            <w:pPr>
              <w:rPr>
                <w:rFonts w:ascii="Arial" w:hAnsi="Arial" w:cs="Arial"/>
                <w:b/>
                <w:bCs/>
                <w:color w:val="3A3A3A"/>
                <w:sz w:val="20"/>
                <w:szCs w:val="20"/>
              </w:rPr>
            </w:pPr>
          </w:p>
        </w:tc>
        <w:tc>
          <w:tcPr>
            <w:tcW w:w="3362"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7A156726" w14:textId="77777777" w:rsidR="001F4CFB" w:rsidRDefault="001F4CFB">
            <w:pPr>
              <w:spacing w:line="252" w:lineRule="auto"/>
              <w:rPr>
                <w:rFonts w:ascii="Arial" w:hAnsi="Arial" w:cs="Arial"/>
                <w:b/>
                <w:bCs/>
                <w:color w:val="3A3A3A"/>
                <w:sz w:val="20"/>
                <w:szCs w:val="20"/>
              </w:rPr>
            </w:pPr>
            <w:r>
              <w:rPr>
                <w:rFonts w:ascii="Arial" w:hAnsi="Arial" w:cs="Arial"/>
                <w:color w:val="3A3A3A"/>
                <w:sz w:val="20"/>
                <w:szCs w:val="20"/>
              </w:rPr>
              <w:t>Through our communications team, promote female participants within case studies and testimonials to provide the role models for future generations.</w:t>
            </w:r>
          </w:p>
        </w:tc>
        <w:tc>
          <w:tcPr>
            <w:tcW w:w="2410"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22232759" w14:textId="77777777" w:rsidR="001F4CFB" w:rsidRDefault="001F4CFB">
            <w:pPr>
              <w:spacing w:line="252" w:lineRule="auto"/>
              <w:rPr>
                <w:rFonts w:ascii="Arial" w:hAnsi="Arial" w:cs="Arial"/>
                <w:b/>
                <w:bCs/>
                <w:color w:val="3A3A3A"/>
                <w:sz w:val="20"/>
                <w:szCs w:val="20"/>
              </w:rPr>
            </w:pPr>
            <w:r>
              <w:rPr>
                <w:rFonts w:ascii="Arial" w:hAnsi="Arial" w:cs="Arial"/>
                <w:color w:val="3A3A3A"/>
                <w:sz w:val="20"/>
                <w:szCs w:val="20"/>
              </w:rPr>
              <w:t>Continuous promotion through our regular communication channels.</w:t>
            </w:r>
          </w:p>
        </w:tc>
      </w:tr>
      <w:tr w:rsidR="001F4CFB" w14:paraId="547255A9" w14:textId="77777777" w:rsidTr="001F4CFB">
        <w:trPr>
          <w:trHeight w:val="60"/>
        </w:trPr>
        <w:tc>
          <w:tcPr>
            <w:tcW w:w="2075" w:type="dxa"/>
            <w:vMerge w:val="restart"/>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3046C23A" w14:textId="77777777" w:rsidR="001F4CFB" w:rsidRDefault="001F4CFB" w:rsidP="001F4CFB">
            <w:pPr>
              <w:numPr>
                <w:ilvl w:val="0"/>
                <w:numId w:val="4"/>
              </w:numPr>
              <w:autoSpaceDN w:val="0"/>
              <w:spacing w:after="0" w:line="252" w:lineRule="auto"/>
              <w:ind w:left="414" w:hanging="414"/>
              <w:contextualSpacing/>
              <w:rPr>
                <w:rFonts w:ascii="Calibri" w:hAnsi="Calibri" w:cs="Calibri"/>
                <w:b/>
                <w:bCs/>
                <w:color w:val="3A3A3A"/>
                <w:sz w:val="20"/>
                <w:szCs w:val="20"/>
              </w:rPr>
            </w:pPr>
            <w:r>
              <w:rPr>
                <w:rFonts w:ascii="Calibri" w:hAnsi="Calibri" w:cs="Calibri"/>
                <w:b/>
                <w:bCs/>
                <w:color w:val="3A3A3A"/>
                <w:sz w:val="20"/>
                <w:szCs w:val="20"/>
              </w:rPr>
              <w:t>People with disabilities</w:t>
            </w:r>
          </w:p>
        </w:tc>
        <w:tc>
          <w:tcPr>
            <w:tcW w:w="2071" w:type="dxa"/>
            <w:vMerge w:val="restart"/>
            <w:tcBorders>
              <w:top w:val="nil"/>
              <w:left w:val="nil"/>
              <w:bottom w:val="single" w:sz="8" w:space="0" w:color="666666"/>
              <w:right w:val="single" w:sz="8" w:space="0" w:color="666666"/>
            </w:tcBorders>
            <w:tcMar>
              <w:top w:w="0" w:type="dxa"/>
              <w:left w:w="108" w:type="dxa"/>
              <w:bottom w:w="0" w:type="dxa"/>
              <w:right w:w="108" w:type="dxa"/>
            </w:tcMar>
            <w:hideMark/>
          </w:tcPr>
          <w:p w14:paraId="25960283" w14:textId="77777777" w:rsidR="001F4CFB" w:rsidRDefault="001F4CFB">
            <w:pPr>
              <w:spacing w:line="252" w:lineRule="auto"/>
              <w:rPr>
                <w:rFonts w:ascii="Arial" w:hAnsi="Arial" w:cs="Arial"/>
                <w:b/>
                <w:bCs/>
                <w:color w:val="3A3A3A"/>
                <w:sz w:val="20"/>
                <w:szCs w:val="20"/>
              </w:rPr>
            </w:pPr>
            <w:r>
              <w:rPr>
                <w:rFonts w:ascii="Arial" w:hAnsi="Arial" w:cs="Arial"/>
                <w:color w:val="3A3A3A"/>
                <w:sz w:val="20"/>
                <w:szCs w:val="20"/>
              </w:rPr>
              <w:t xml:space="preserve">In line with our Disability Action Plan, work with clients, customers, partners, and stakeholders, to deliver initiatives to further employment opportunities for the disabled. </w:t>
            </w:r>
          </w:p>
        </w:tc>
        <w:tc>
          <w:tcPr>
            <w:tcW w:w="3362" w:type="dxa"/>
            <w:tcBorders>
              <w:top w:val="nil"/>
              <w:left w:val="nil"/>
              <w:bottom w:val="single" w:sz="8" w:space="0" w:color="666666"/>
              <w:right w:val="single" w:sz="8" w:space="0" w:color="666666"/>
            </w:tcBorders>
            <w:tcMar>
              <w:top w:w="0" w:type="dxa"/>
              <w:left w:w="108" w:type="dxa"/>
              <w:bottom w:w="0" w:type="dxa"/>
              <w:right w:w="108" w:type="dxa"/>
            </w:tcMar>
            <w:hideMark/>
          </w:tcPr>
          <w:p w14:paraId="06EB3475" w14:textId="77777777" w:rsidR="001F4CFB" w:rsidRDefault="001F4CFB">
            <w:pPr>
              <w:spacing w:line="252" w:lineRule="auto"/>
              <w:rPr>
                <w:rFonts w:ascii="Arial" w:hAnsi="Arial" w:cs="Arial"/>
                <w:b/>
                <w:bCs/>
                <w:color w:val="3A3A3A"/>
                <w:sz w:val="20"/>
                <w:szCs w:val="20"/>
              </w:rPr>
            </w:pPr>
            <w:r>
              <w:rPr>
                <w:rFonts w:ascii="Arial" w:hAnsi="Arial" w:cs="Arial"/>
                <w:color w:val="3A3A3A"/>
                <w:sz w:val="20"/>
                <w:szCs w:val="20"/>
              </w:rPr>
              <w:t>Review Invest NI’s current offering of disabled specific initiatives and identify opportunities for new initiatives and / or enhancements.</w:t>
            </w:r>
          </w:p>
        </w:tc>
        <w:tc>
          <w:tcPr>
            <w:tcW w:w="2410" w:type="dxa"/>
            <w:tcBorders>
              <w:top w:val="nil"/>
              <w:left w:val="nil"/>
              <w:bottom w:val="single" w:sz="8" w:space="0" w:color="666666"/>
              <w:right w:val="single" w:sz="8" w:space="0" w:color="666666"/>
            </w:tcBorders>
            <w:tcMar>
              <w:top w:w="0" w:type="dxa"/>
              <w:left w:w="108" w:type="dxa"/>
              <w:bottom w:w="0" w:type="dxa"/>
              <w:right w:w="108" w:type="dxa"/>
            </w:tcMar>
            <w:hideMark/>
          </w:tcPr>
          <w:p w14:paraId="08483051" w14:textId="77777777" w:rsidR="001F4CFB" w:rsidRDefault="001F4CFB">
            <w:pPr>
              <w:spacing w:line="252" w:lineRule="auto"/>
              <w:rPr>
                <w:rFonts w:ascii="Arial" w:hAnsi="Arial" w:cs="Arial"/>
                <w:b/>
                <w:bCs/>
                <w:color w:val="3A3A3A"/>
                <w:sz w:val="20"/>
                <w:szCs w:val="20"/>
              </w:rPr>
            </w:pPr>
            <w:r>
              <w:rPr>
                <w:rFonts w:ascii="Arial" w:hAnsi="Arial" w:cs="Arial"/>
                <w:color w:val="3A3A3A"/>
                <w:sz w:val="20"/>
                <w:szCs w:val="20"/>
              </w:rPr>
              <w:t>Complete by 30</w:t>
            </w:r>
            <w:r>
              <w:rPr>
                <w:rFonts w:ascii="Arial" w:hAnsi="Arial" w:cs="Arial"/>
                <w:color w:val="3A3A3A"/>
                <w:sz w:val="20"/>
                <w:szCs w:val="20"/>
                <w:vertAlign w:val="superscript"/>
              </w:rPr>
              <w:t>th</w:t>
            </w:r>
            <w:r>
              <w:rPr>
                <w:rFonts w:ascii="Arial" w:hAnsi="Arial" w:cs="Arial"/>
                <w:color w:val="3A3A3A"/>
                <w:sz w:val="20"/>
                <w:szCs w:val="20"/>
              </w:rPr>
              <w:t xml:space="preserve"> June 2025.</w:t>
            </w:r>
          </w:p>
        </w:tc>
      </w:tr>
      <w:tr w:rsidR="001F4CFB" w14:paraId="05ECB96F" w14:textId="77777777" w:rsidTr="001F4CFB">
        <w:trPr>
          <w:trHeight w:val="60"/>
        </w:trPr>
        <w:tc>
          <w:tcPr>
            <w:tcW w:w="0" w:type="auto"/>
            <w:vMerge/>
            <w:tcBorders>
              <w:top w:val="nil"/>
              <w:left w:val="single" w:sz="8" w:space="0" w:color="666666"/>
              <w:bottom w:val="single" w:sz="8" w:space="0" w:color="666666"/>
              <w:right w:val="single" w:sz="8" w:space="0" w:color="666666"/>
            </w:tcBorders>
            <w:vAlign w:val="center"/>
            <w:hideMark/>
          </w:tcPr>
          <w:p w14:paraId="414D241D" w14:textId="77777777" w:rsidR="001F4CFB" w:rsidRDefault="001F4CFB">
            <w:pPr>
              <w:rPr>
                <w:rFonts w:ascii="Calibri" w:hAnsi="Calibri" w:cs="Calibri"/>
                <w:b/>
                <w:bCs/>
                <w:color w:val="3A3A3A"/>
                <w:sz w:val="20"/>
                <w:szCs w:val="20"/>
              </w:rPr>
            </w:pPr>
          </w:p>
        </w:tc>
        <w:tc>
          <w:tcPr>
            <w:tcW w:w="0" w:type="auto"/>
            <w:vMerge/>
            <w:tcBorders>
              <w:top w:val="nil"/>
              <w:left w:val="nil"/>
              <w:bottom w:val="single" w:sz="8" w:space="0" w:color="666666"/>
              <w:right w:val="single" w:sz="8" w:space="0" w:color="666666"/>
            </w:tcBorders>
            <w:vAlign w:val="center"/>
            <w:hideMark/>
          </w:tcPr>
          <w:p w14:paraId="476F3FB5" w14:textId="77777777" w:rsidR="001F4CFB" w:rsidRDefault="001F4CFB">
            <w:pPr>
              <w:rPr>
                <w:rFonts w:ascii="Arial" w:hAnsi="Arial" w:cs="Arial"/>
                <w:b/>
                <w:bCs/>
                <w:color w:val="3A3A3A"/>
                <w:sz w:val="20"/>
                <w:szCs w:val="20"/>
              </w:rPr>
            </w:pPr>
          </w:p>
        </w:tc>
        <w:tc>
          <w:tcPr>
            <w:tcW w:w="3362"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11EBCE0F" w14:textId="77777777" w:rsidR="001F4CFB" w:rsidRDefault="001F4CFB">
            <w:pPr>
              <w:spacing w:line="252" w:lineRule="auto"/>
              <w:rPr>
                <w:rFonts w:ascii="Arial" w:hAnsi="Arial" w:cs="Arial"/>
                <w:b/>
                <w:bCs/>
                <w:color w:val="3A3A3A"/>
                <w:sz w:val="20"/>
                <w:szCs w:val="20"/>
              </w:rPr>
            </w:pPr>
            <w:r>
              <w:rPr>
                <w:rFonts w:ascii="Arial" w:hAnsi="Arial" w:cs="Arial"/>
                <w:color w:val="3A3A3A"/>
                <w:sz w:val="20"/>
                <w:szCs w:val="20"/>
              </w:rPr>
              <w:t>In line with our Disability Action Plan, host a regular event, bringing together key partners and stakeholders to help contribute to reducing employment inequalities faced by disabled people.</w:t>
            </w:r>
          </w:p>
        </w:tc>
        <w:tc>
          <w:tcPr>
            <w:tcW w:w="2410"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1E4CDDFB" w14:textId="77777777" w:rsidR="001F4CFB" w:rsidRDefault="001F4CFB">
            <w:pPr>
              <w:spacing w:line="252" w:lineRule="auto"/>
              <w:rPr>
                <w:rFonts w:ascii="Arial" w:hAnsi="Arial" w:cs="Arial"/>
                <w:b/>
                <w:bCs/>
                <w:color w:val="3A3A3A"/>
                <w:sz w:val="20"/>
                <w:szCs w:val="20"/>
              </w:rPr>
            </w:pPr>
            <w:r>
              <w:rPr>
                <w:rFonts w:ascii="Arial" w:hAnsi="Arial" w:cs="Arial"/>
                <w:color w:val="3A3A3A"/>
                <w:sz w:val="20"/>
                <w:szCs w:val="20"/>
              </w:rPr>
              <w:t>Annual Event, rotated across Invest NI’s Regional offices.</w:t>
            </w:r>
          </w:p>
        </w:tc>
      </w:tr>
      <w:tr w:rsidR="001F4CFB" w14:paraId="5D7B22CB" w14:textId="77777777" w:rsidTr="001F4CFB">
        <w:trPr>
          <w:trHeight w:val="60"/>
        </w:trPr>
        <w:tc>
          <w:tcPr>
            <w:tcW w:w="2075" w:type="dxa"/>
            <w:vMerge w:val="restart"/>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6592833B" w14:textId="77777777" w:rsidR="001F4CFB" w:rsidRDefault="001F4CFB" w:rsidP="001F4CFB">
            <w:pPr>
              <w:numPr>
                <w:ilvl w:val="0"/>
                <w:numId w:val="4"/>
              </w:numPr>
              <w:autoSpaceDN w:val="0"/>
              <w:spacing w:after="0" w:line="252" w:lineRule="auto"/>
              <w:ind w:left="414" w:hanging="414"/>
              <w:contextualSpacing/>
              <w:rPr>
                <w:rFonts w:ascii="Calibri" w:hAnsi="Calibri" w:cs="Calibri"/>
                <w:b/>
                <w:bCs/>
                <w:color w:val="3A3A3A"/>
                <w:sz w:val="20"/>
                <w:szCs w:val="20"/>
              </w:rPr>
            </w:pPr>
            <w:r>
              <w:rPr>
                <w:rFonts w:ascii="Calibri" w:hAnsi="Calibri" w:cs="Calibri"/>
                <w:b/>
                <w:bCs/>
                <w:color w:val="3A3A3A"/>
                <w:sz w:val="20"/>
                <w:szCs w:val="20"/>
              </w:rPr>
              <w:t xml:space="preserve">Other Marginalised </w:t>
            </w:r>
            <w:r>
              <w:rPr>
                <w:rFonts w:ascii="Calibri" w:hAnsi="Calibri" w:cs="Calibri"/>
                <w:b/>
                <w:bCs/>
                <w:color w:val="3A3A3A"/>
                <w:sz w:val="20"/>
                <w:szCs w:val="20"/>
              </w:rPr>
              <w:lastRenderedPageBreak/>
              <w:t>Groups &amp; Minority Communities</w:t>
            </w:r>
          </w:p>
        </w:tc>
        <w:tc>
          <w:tcPr>
            <w:tcW w:w="2071" w:type="dxa"/>
            <w:vMerge w:val="restart"/>
            <w:tcBorders>
              <w:top w:val="nil"/>
              <w:left w:val="nil"/>
              <w:bottom w:val="single" w:sz="8" w:space="0" w:color="666666"/>
              <w:right w:val="single" w:sz="8" w:space="0" w:color="666666"/>
            </w:tcBorders>
            <w:tcMar>
              <w:top w:w="0" w:type="dxa"/>
              <w:left w:w="108" w:type="dxa"/>
              <w:bottom w:w="0" w:type="dxa"/>
              <w:right w:w="108" w:type="dxa"/>
            </w:tcMar>
            <w:hideMark/>
          </w:tcPr>
          <w:p w14:paraId="40C15935" w14:textId="77777777" w:rsidR="001F4CFB" w:rsidRDefault="001F4CFB">
            <w:pPr>
              <w:spacing w:line="252" w:lineRule="auto"/>
              <w:rPr>
                <w:rFonts w:ascii="Arial" w:hAnsi="Arial" w:cs="Arial"/>
                <w:b/>
                <w:bCs/>
                <w:color w:val="3A3A3A"/>
                <w:sz w:val="20"/>
                <w:szCs w:val="20"/>
              </w:rPr>
            </w:pPr>
            <w:r>
              <w:rPr>
                <w:rFonts w:ascii="Arial" w:hAnsi="Arial" w:cs="Arial"/>
                <w:color w:val="3A3A3A"/>
                <w:sz w:val="20"/>
                <w:szCs w:val="20"/>
              </w:rPr>
              <w:lastRenderedPageBreak/>
              <w:t xml:space="preserve">Implement positive steps and take action to reduce </w:t>
            </w:r>
            <w:r>
              <w:rPr>
                <w:rFonts w:ascii="Arial" w:hAnsi="Arial" w:cs="Arial"/>
                <w:color w:val="3A3A3A"/>
                <w:sz w:val="20"/>
                <w:szCs w:val="20"/>
              </w:rPr>
              <w:lastRenderedPageBreak/>
              <w:t xml:space="preserve">social inclusion of marginalised groups and communities.    </w:t>
            </w:r>
          </w:p>
        </w:tc>
        <w:tc>
          <w:tcPr>
            <w:tcW w:w="3362" w:type="dxa"/>
            <w:tcBorders>
              <w:top w:val="nil"/>
              <w:left w:val="nil"/>
              <w:bottom w:val="single" w:sz="8" w:space="0" w:color="666666"/>
              <w:right w:val="single" w:sz="8" w:space="0" w:color="666666"/>
            </w:tcBorders>
            <w:tcMar>
              <w:top w:w="0" w:type="dxa"/>
              <w:left w:w="108" w:type="dxa"/>
              <w:bottom w:w="0" w:type="dxa"/>
              <w:right w:w="108" w:type="dxa"/>
            </w:tcMar>
            <w:hideMark/>
          </w:tcPr>
          <w:p w14:paraId="548819DF" w14:textId="77777777" w:rsidR="001F4CFB" w:rsidRDefault="001F4CFB">
            <w:pPr>
              <w:spacing w:line="252" w:lineRule="auto"/>
              <w:rPr>
                <w:rFonts w:ascii="Arial" w:hAnsi="Arial" w:cs="Arial"/>
                <w:b/>
                <w:bCs/>
                <w:color w:val="3A3A3A"/>
                <w:sz w:val="20"/>
                <w:szCs w:val="20"/>
              </w:rPr>
            </w:pPr>
            <w:r>
              <w:rPr>
                <w:rFonts w:ascii="Arial" w:hAnsi="Arial" w:cs="Arial"/>
                <w:color w:val="3A3A3A"/>
                <w:sz w:val="20"/>
                <w:szCs w:val="20"/>
              </w:rPr>
              <w:lastRenderedPageBreak/>
              <w:t xml:space="preserve">Review Invest NI’s current specific initiatives targeted at marginalised groups and minority communities </w:t>
            </w:r>
            <w:r>
              <w:rPr>
                <w:rFonts w:ascii="Arial" w:hAnsi="Arial" w:cs="Arial"/>
                <w:color w:val="3A3A3A"/>
                <w:sz w:val="20"/>
                <w:szCs w:val="20"/>
              </w:rPr>
              <w:lastRenderedPageBreak/>
              <w:t>and identify opportunities for new initiatives and / or enhancements.</w:t>
            </w:r>
          </w:p>
        </w:tc>
        <w:tc>
          <w:tcPr>
            <w:tcW w:w="2410" w:type="dxa"/>
            <w:tcBorders>
              <w:top w:val="nil"/>
              <w:left w:val="nil"/>
              <w:bottom w:val="single" w:sz="8" w:space="0" w:color="666666"/>
              <w:right w:val="single" w:sz="8" w:space="0" w:color="666666"/>
            </w:tcBorders>
            <w:tcMar>
              <w:top w:w="0" w:type="dxa"/>
              <w:left w:w="108" w:type="dxa"/>
              <w:bottom w:w="0" w:type="dxa"/>
              <w:right w:w="108" w:type="dxa"/>
            </w:tcMar>
            <w:hideMark/>
          </w:tcPr>
          <w:p w14:paraId="04557521" w14:textId="77777777" w:rsidR="001F4CFB" w:rsidRDefault="001F4CFB">
            <w:pPr>
              <w:spacing w:line="252" w:lineRule="auto"/>
              <w:rPr>
                <w:rFonts w:ascii="Arial" w:hAnsi="Arial" w:cs="Arial"/>
                <w:b/>
                <w:bCs/>
                <w:color w:val="3A3A3A"/>
                <w:sz w:val="20"/>
                <w:szCs w:val="20"/>
              </w:rPr>
            </w:pPr>
            <w:r>
              <w:rPr>
                <w:rFonts w:ascii="Arial" w:hAnsi="Arial" w:cs="Arial"/>
                <w:color w:val="3A3A3A"/>
                <w:sz w:val="20"/>
                <w:szCs w:val="20"/>
              </w:rPr>
              <w:lastRenderedPageBreak/>
              <w:t>Complete by 30</w:t>
            </w:r>
            <w:r>
              <w:rPr>
                <w:rFonts w:ascii="Arial" w:hAnsi="Arial" w:cs="Arial"/>
                <w:color w:val="3A3A3A"/>
                <w:sz w:val="20"/>
                <w:szCs w:val="20"/>
                <w:vertAlign w:val="superscript"/>
              </w:rPr>
              <w:t>th</w:t>
            </w:r>
            <w:r>
              <w:rPr>
                <w:rFonts w:ascii="Arial" w:hAnsi="Arial" w:cs="Arial"/>
                <w:color w:val="3A3A3A"/>
                <w:sz w:val="20"/>
                <w:szCs w:val="20"/>
              </w:rPr>
              <w:t xml:space="preserve"> September 2025.</w:t>
            </w:r>
          </w:p>
        </w:tc>
      </w:tr>
      <w:tr w:rsidR="001F4CFB" w14:paraId="58ED26C1" w14:textId="77777777" w:rsidTr="001F4CFB">
        <w:trPr>
          <w:trHeight w:val="60"/>
        </w:trPr>
        <w:tc>
          <w:tcPr>
            <w:tcW w:w="0" w:type="auto"/>
            <w:vMerge/>
            <w:tcBorders>
              <w:top w:val="nil"/>
              <w:left w:val="single" w:sz="8" w:space="0" w:color="666666"/>
              <w:bottom w:val="single" w:sz="8" w:space="0" w:color="666666"/>
              <w:right w:val="single" w:sz="8" w:space="0" w:color="666666"/>
            </w:tcBorders>
            <w:vAlign w:val="center"/>
            <w:hideMark/>
          </w:tcPr>
          <w:p w14:paraId="57F29B3D" w14:textId="77777777" w:rsidR="001F4CFB" w:rsidRDefault="001F4CFB">
            <w:pPr>
              <w:rPr>
                <w:rFonts w:ascii="Calibri" w:hAnsi="Calibri" w:cs="Calibri"/>
                <w:b/>
                <w:bCs/>
                <w:color w:val="3A3A3A"/>
                <w:sz w:val="20"/>
                <w:szCs w:val="20"/>
              </w:rPr>
            </w:pPr>
          </w:p>
        </w:tc>
        <w:tc>
          <w:tcPr>
            <w:tcW w:w="0" w:type="auto"/>
            <w:vMerge/>
            <w:tcBorders>
              <w:top w:val="nil"/>
              <w:left w:val="nil"/>
              <w:bottom w:val="single" w:sz="8" w:space="0" w:color="666666"/>
              <w:right w:val="single" w:sz="8" w:space="0" w:color="666666"/>
            </w:tcBorders>
            <w:vAlign w:val="center"/>
            <w:hideMark/>
          </w:tcPr>
          <w:p w14:paraId="113A56AB" w14:textId="77777777" w:rsidR="001F4CFB" w:rsidRDefault="001F4CFB">
            <w:pPr>
              <w:rPr>
                <w:rFonts w:ascii="Arial" w:hAnsi="Arial" w:cs="Arial"/>
                <w:b/>
                <w:bCs/>
                <w:color w:val="3A3A3A"/>
                <w:sz w:val="20"/>
                <w:szCs w:val="20"/>
              </w:rPr>
            </w:pPr>
          </w:p>
        </w:tc>
        <w:tc>
          <w:tcPr>
            <w:tcW w:w="3362"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061B99FE" w14:textId="77777777" w:rsidR="001F4CFB" w:rsidRDefault="001F4CFB">
            <w:pPr>
              <w:spacing w:line="252" w:lineRule="auto"/>
              <w:rPr>
                <w:rFonts w:ascii="Arial" w:hAnsi="Arial" w:cs="Arial"/>
                <w:b/>
                <w:bCs/>
                <w:color w:val="3A3A3A"/>
                <w:sz w:val="20"/>
                <w:szCs w:val="20"/>
              </w:rPr>
            </w:pPr>
            <w:r>
              <w:rPr>
                <w:rFonts w:ascii="Arial" w:hAnsi="Arial" w:cs="Arial"/>
                <w:color w:val="3A3A3A"/>
                <w:sz w:val="20"/>
                <w:szCs w:val="20"/>
              </w:rPr>
              <w:t xml:space="preserve">Widen the reach of our Regional Offices </w:t>
            </w:r>
            <w:proofErr w:type="gramStart"/>
            <w:r>
              <w:rPr>
                <w:rFonts w:ascii="Arial" w:hAnsi="Arial" w:cs="Arial"/>
                <w:color w:val="3A3A3A"/>
                <w:sz w:val="20"/>
                <w:szCs w:val="20"/>
              </w:rPr>
              <w:t>in order to</w:t>
            </w:r>
            <w:proofErr w:type="gramEnd"/>
            <w:r>
              <w:rPr>
                <w:rFonts w:ascii="Arial" w:hAnsi="Arial" w:cs="Arial"/>
                <w:color w:val="3A3A3A"/>
                <w:sz w:val="20"/>
                <w:szCs w:val="20"/>
              </w:rPr>
              <w:t xml:space="preserve"> drive improved economic opportunities for our most deprived communities</w:t>
            </w:r>
          </w:p>
        </w:tc>
        <w:tc>
          <w:tcPr>
            <w:tcW w:w="2410"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6BEF5DC4" w14:textId="77777777" w:rsidR="001F4CFB" w:rsidRDefault="001F4CFB">
            <w:pPr>
              <w:spacing w:line="252" w:lineRule="auto"/>
              <w:rPr>
                <w:rFonts w:ascii="Arial" w:hAnsi="Arial" w:cs="Arial"/>
                <w:b/>
                <w:bCs/>
                <w:color w:val="3A3A3A"/>
                <w:sz w:val="20"/>
                <w:szCs w:val="20"/>
              </w:rPr>
            </w:pPr>
            <w:r>
              <w:rPr>
                <w:rFonts w:ascii="Arial" w:hAnsi="Arial" w:cs="Arial"/>
                <w:color w:val="3A3A3A"/>
                <w:sz w:val="20"/>
                <w:szCs w:val="20"/>
              </w:rPr>
              <w:t>Host annual networking and information events across our Regional Office areas, using a range of community and partner hubs, to promote Invest NI and its services.</w:t>
            </w:r>
          </w:p>
        </w:tc>
      </w:tr>
      <w:tr w:rsidR="001F4CFB" w14:paraId="0720B496" w14:textId="77777777" w:rsidTr="001F4CFB">
        <w:trPr>
          <w:trHeight w:val="60"/>
        </w:trPr>
        <w:tc>
          <w:tcPr>
            <w:tcW w:w="0" w:type="auto"/>
            <w:vMerge/>
            <w:tcBorders>
              <w:top w:val="nil"/>
              <w:left w:val="single" w:sz="8" w:space="0" w:color="666666"/>
              <w:bottom w:val="single" w:sz="8" w:space="0" w:color="666666"/>
              <w:right w:val="single" w:sz="8" w:space="0" w:color="666666"/>
            </w:tcBorders>
            <w:vAlign w:val="center"/>
            <w:hideMark/>
          </w:tcPr>
          <w:p w14:paraId="1CF4B260" w14:textId="77777777" w:rsidR="001F4CFB" w:rsidRDefault="001F4CFB">
            <w:pPr>
              <w:rPr>
                <w:rFonts w:ascii="Calibri" w:hAnsi="Calibri" w:cs="Calibri"/>
                <w:b/>
                <w:bCs/>
                <w:color w:val="3A3A3A"/>
                <w:sz w:val="20"/>
                <w:szCs w:val="20"/>
              </w:rPr>
            </w:pPr>
          </w:p>
        </w:tc>
        <w:tc>
          <w:tcPr>
            <w:tcW w:w="0" w:type="auto"/>
            <w:vMerge/>
            <w:tcBorders>
              <w:top w:val="nil"/>
              <w:left w:val="nil"/>
              <w:bottom w:val="single" w:sz="8" w:space="0" w:color="666666"/>
              <w:right w:val="single" w:sz="8" w:space="0" w:color="666666"/>
            </w:tcBorders>
            <w:vAlign w:val="center"/>
            <w:hideMark/>
          </w:tcPr>
          <w:p w14:paraId="726BD4CE" w14:textId="77777777" w:rsidR="001F4CFB" w:rsidRDefault="001F4CFB">
            <w:pPr>
              <w:rPr>
                <w:rFonts w:ascii="Arial" w:hAnsi="Arial" w:cs="Arial"/>
                <w:b/>
                <w:bCs/>
                <w:color w:val="3A3A3A"/>
                <w:sz w:val="20"/>
                <w:szCs w:val="20"/>
              </w:rPr>
            </w:pPr>
          </w:p>
        </w:tc>
        <w:tc>
          <w:tcPr>
            <w:tcW w:w="3362" w:type="dxa"/>
            <w:tcBorders>
              <w:top w:val="nil"/>
              <w:left w:val="nil"/>
              <w:bottom w:val="single" w:sz="8" w:space="0" w:color="666666"/>
              <w:right w:val="single" w:sz="8" w:space="0" w:color="666666"/>
            </w:tcBorders>
            <w:tcMar>
              <w:top w:w="0" w:type="dxa"/>
              <w:left w:w="108" w:type="dxa"/>
              <w:bottom w:w="0" w:type="dxa"/>
              <w:right w:w="108" w:type="dxa"/>
            </w:tcMar>
            <w:hideMark/>
          </w:tcPr>
          <w:p w14:paraId="2DCFCB10" w14:textId="77777777" w:rsidR="001F4CFB" w:rsidRDefault="001F4CFB">
            <w:pPr>
              <w:spacing w:line="252" w:lineRule="auto"/>
              <w:rPr>
                <w:rFonts w:ascii="Arial" w:hAnsi="Arial" w:cs="Arial"/>
                <w:b/>
                <w:bCs/>
                <w:color w:val="3A3A3A"/>
                <w:sz w:val="20"/>
                <w:szCs w:val="20"/>
              </w:rPr>
            </w:pPr>
            <w:r>
              <w:rPr>
                <w:rFonts w:ascii="Arial" w:hAnsi="Arial" w:cs="Arial"/>
                <w:color w:val="3A3A3A"/>
                <w:sz w:val="20"/>
                <w:szCs w:val="20"/>
              </w:rPr>
              <w:t>Implement a new Alternative Talent Pathways approach, placing collaboration with partners at the centre, to streamline pathways to sustainable employment for marginalised groups and minority communities.</w:t>
            </w:r>
          </w:p>
        </w:tc>
        <w:tc>
          <w:tcPr>
            <w:tcW w:w="2410" w:type="dxa"/>
            <w:tcBorders>
              <w:top w:val="nil"/>
              <w:left w:val="nil"/>
              <w:bottom w:val="single" w:sz="8" w:space="0" w:color="666666"/>
              <w:right w:val="single" w:sz="8" w:space="0" w:color="666666"/>
            </w:tcBorders>
            <w:tcMar>
              <w:top w:w="0" w:type="dxa"/>
              <w:left w:w="108" w:type="dxa"/>
              <w:bottom w:w="0" w:type="dxa"/>
              <w:right w:w="108" w:type="dxa"/>
            </w:tcMar>
            <w:hideMark/>
          </w:tcPr>
          <w:p w14:paraId="17ADF1C4" w14:textId="77777777" w:rsidR="001F4CFB" w:rsidRDefault="001F4CFB">
            <w:pPr>
              <w:spacing w:line="252" w:lineRule="auto"/>
              <w:rPr>
                <w:rFonts w:ascii="Arial" w:hAnsi="Arial" w:cs="Arial"/>
                <w:b/>
                <w:bCs/>
                <w:color w:val="3A3A3A"/>
                <w:sz w:val="20"/>
                <w:szCs w:val="20"/>
              </w:rPr>
            </w:pPr>
            <w:r>
              <w:rPr>
                <w:rFonts w:ascii="Arial" w:hAnsi="Arial" w:cs="Arial"/>
                <w:color w:val="3A3A3A"/>
                <w:sz w:val="20"/>
                <w:szCs w:val="20"/>
              </w:rPr>
              <w:t>31</w:t>
            </w:r>
            <w:r>
              <w:rPr>
                <w:rFonts w:ascii="Arial" w:hAnsi="Arial" w:cs="Arial"/>
                <w:color w:val="3A3A3A"/>
                <w:sz w:val="20"/>
                <w:szCs w:val="20"/>
                <w:vertAlign w:val="superscript"/>
              </w:rPr>
              <w:t>st</w:t>
            </w:r>
            <w:r>
              <w:rPr>
                <w:rFonts w:ascii="Arial" w:hAnsi="Arial" w:cs="Arial"/>
                <w:color w:val="3A3A3A"/>
                <w:sz w:val="20"/>
                <w:szCs w:val="20"/>
              </w:rPr>
              <w:t xml:space="preserve"> March 2026</w:t>
            </w:r>
          </w:p>
        </w:tc>
      </w:tr>
      <w:tr w:rsidR="001F4CFB" w14:paraId="098A7BFE" w14:textId="77777777" w:rsidTr="001F4CFB">
        <w:trPr>
          <w:trHeight w:val="60"/>
        </w:trPr>
        <w:tc>
          <w:tcPr>
            <w:tcW w:w="0" w:type="auto"/>
            <w:vMerge/>
            <w:tcBorders>
              <w:top w:val="nil"/>
              <w:left w:val="single" w:sz="8" w:space="0" w:color="666666"/>
              <w:bottom w:val="single" w:sz="8" w:space="0" w:color="666666"/>
              <w:right w:val="single" w:sz="8" w:space="0" w:color="666666"/>
            </w:tcBorders>
            <w:vAlign w:val="center"/>
            <w:hideMark/>
          </w:tcPr>
          <w:p w14:paraId="0CBCA3CE" w14:textId="77777777" w:rsidR="001F4CFB" w:rsidRDefault="001F4CFB">
            <w:pPr>
              <w:rPr>
                <w:rFonts w:ascii="Calibri" w:hAnsi="Calibri" w:cs="Calibri"/>
                <w:b/>
                <w:bCs/>
                <w:color w:val="3A3A3A"/>
                <w:sz w:val="20"/>
                <w:szCs w:val="20"/>
              </w:rPr>
            </w:pPr>
          </w:p>
        </w:tc>
        <w:tc>
          <w:tcPr>
            <w:tcW w:w="0" w:type="auto"/>
            <w:vMerge/>
            <w:tcBorders>
              <w:top w:val="nil"/>
              <w:left w:val="nil"/>
              <w:bottom w:val="single" w:sz="8" w:space="0" w:color="666666"/>
              <w:right w:val="single" w:sz="8" w:space="0" w:color="666666"/>
            </w:tcBorders>
            <w:vAlign w:val="center"/>
            <w:hideMark/>
          </w:tcPr>
          <w:p w14:paraId="3BE4C9FD" w14:textId="77777777" w:rsidR="001F4CFB" w:rsidRDefault="001F4CFB">
            <w:pPr>
              <w:rPr>
                <w:rFonts w:ascii="Arial" w:hAnsi="Arial" w:cs="Arial"/>
                <w:b/>
                <w:bCs/>
                <w:color w:val="3A3A3A"/>
                <w:sz w:val="20"/>
                <w:szCs w:val="20"/>
              </w:rPr>
            </w:pPr>
          </w:p>
        </w:tc>
        <w:tc>
          <w:tcPr>
            <w:tcW w:w="3362"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5325B292" w14:textId="77777777" w:rsidR="001F4CFB" w:rsidRDefault="001F4CFB">
            <w:pPr>
              <w:spacing w:line="252" w:lineRule="auto"/>
              <w:rPr>
                <w:rFonts w:ascii="Arial" w:hAnsi="Arial" w:cs="Arial"/>
                <w:b/>
                <w:bCs/>
                <w:color w:val="3A3A3A"/>
                <w:sz w:val="20"/>
                <w:szCs w:val="20"/>
              </w:rPr>
            </w:pPr>
            <w:r>
              <w:rPr>
                <w:rFonts w:ascii="Arial" w:hAnsi="Arial" w:cs="Arial"/>
                <w:color w:val="3A3A3A"/>
                <w:sz w:val="20"/>
                <w:szCs w:val="20"/>
              </w:rPr>
              <w:t>In line with our ESG Action Plan, cultivate and foster better relationships with our partners to enhance engagement and interaction with representative bodies and organisations in line with our Good Relations Strategy.</w:t>
            </w:r>
          </w:p>
        </w:tc>
        <w:tc>
          <w:tcPr>
            <w:tcW w:w="2410"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684065B3" w14:textId="77777777" w:rsidR="001F4CFB" w:rsidRDefault="001F4CFB">
            <w:pPr>
              <w:spacing w:line="252" w:lineRule="auto"/>
              <w:rPr>
                <w:rFonts w:ascii="Arial" w:hAnsi="Arial" w:cs="Arial"/>
                <w:b/>
                <w:bCs/>
                <w:color w:val="3A3A3A"/>
                <w:sz w:val="20"/>
                <w:szCs w:val="20"/>
              </w:rPr>
            </w:pPr>
            <w:r>
              <w:rPr>
                <w:rFonts w:ascii="Arial" w:hAnsi="Arial" w:cs="Arial"/>
                <w:color w:val="3A3A3A"/>
                <w:sz w:val="20"/>
                <w:szCs w:val="20"/>
              </w:rPr>
              <w:t>Improve consultation and engagement with key representative groups across the year.</w:t>
            </w:r>
          </w:p>
        </w:tc>
      </w:tr>
    </w:tbl>
    <w:p w14:paraId="76288E4C" w14:textId="77777777" w:rsidR="009119F1" w:rsidRDefault="009119F1">
      <w:pPr>
        <w:rPr>
          <w:rFonts w:ascii="Arial" w:hAnsi="Arial" w:cs="Arial"/>
          <w:b/>
          <w:sz w:val="24"/>
          <w:szCs w:val="24"/>
        </w:rPr>
      </w:pPr>
    </w:p>
    <w:p w14:paraId="3F908BAE" w14:textId="77777777" w:rsidR="009119F1" w:rsidRDefault="009119F1">
      <w:pPr>
        <w:rPr>
          <w:rFonts w:ascii="Arial" w:hAnsi="Arial" w:cs="Arial"/>
          <w:b/>
          <w:sz w:val="24"/>
          <w:szCs w:val="24"/>
        </w:rPr>
      </w:pPr>
    </w:p>
    <w:p w14:paraId="1434F81F" w14:textId="77777777" w:rsidR="009119F1" w:rsidRDefault="009119F1">
      <w:pPr>
        <w:rPr>
          <w:rFonts w:ascii="Arial" w:hAnsi="Arial" w:cs="Arial"/>
          <w:b/>
          <w:sz w:val="24"/>
          <w:szCs w:val="24"/>
        </w:rPr>
      </w:pPr>
    </w:p>
    <w:p w14:paraId="04DB8CD6" w14:textId="77777777" w:rsidR="009119F1" w:rsidRDefault="009119F1">
      <w:pPr>
        <w:rPr>
          <w:rFonts w:ascii="Arial" w:hAnsi="Arial" w:cs="Arial"/>
          <w:b/>
          <w:sz w:val="24"/>
          <w:szCs w:val="24"/>
        </w:rPr>
      </w:pPr>
    </w:p>
    <w:p w14:paraId="78EF430D" w14:textId="77777777" w:rsidR="009119F1" w:rsidRDefault="009119F1">
      <w:pPr>
        <w:rPr>
          <w:rFonts w:ascii="Arial" w:hAnsi="Arial" w:cs="Arial"/>
          <w:b/>
          <w:sz w:val="24"/>
          <w:szCs w:val="24"/>
        </w:rPr>
      </w:pPr>
    </w:p>
    <w:p w14:paraId="38E9085E" w14:textId="77777777" w:rsidR="009119F1" w:rsidRDefault="009119F1">
      <w:pPr>
        <w:rPr>
          <w:rFonts w:ascii="Arial" w:hAnsi="Arial" w:cs="Arial"/>
          <w:b/>
          <w:sz w:val="24"/>
          <w:szCs w:val="24"/>
        </w:rPr>
      </w:pPr>
    </w:p>
    <w:p w14:paraId="253AF7BF" w14:textId="77777777" w:rsidR="009119F1" w:rsidRDefault="009119F1">
      <w:pPr>
        <w:rPr>
          <w:rFonts w:ascii="Arial" w:hAnsi="Arial" w:cs="Arial"/>
          <w:b/>
          <w:sz w:val="24"/>
          <w:szCs w:val="24"/>
        </w:rPr>
      </w:pPr>
    </w:p>
    <w:p w14:paraId="2D8149B8" w14:textId="77777777" w:rsidR="009119F1" w:rsidRDefault="009119F1">
      <w:pPr>
        <w:rPr>
          <w:rFonts w:ascii="Arial" w:hAnsi="Arial" w:cs="Arial"/>
          <w:b/>
          <w:sz w:val="24"/>
          <w:szCs w:val="24"/>
        </w:rPr>
      </w:pPr>
    </w:p>
    <w:p w14:paraId="1A295C12" w14:textId="77777777" w:rsidR="009119F1" w:rsidRDefault="009119F1">
      <w:pPr>
        <w:rPr>
          <w:rFonts w:ascii="Arial" w:hAnsi="Arial" w:cs="Arial"/>
          <w:b/>
          <w:sz w:val="24"/>
          <w:szCs w:val="24"/>
        </w:rPr>
      </w:pPr>
    </w:p>
    <w:p w14:paraId="7475E3D9" w14:textId="77777777" w:rsidR="009119F1" w:rsidRDefault="009119F1">
      <w:pPr>
        <w:rPr>
          <w:rFonts w:ascii="Arial" w:hAnsi="Arial" w:cs="Arial"/>
          <w:b/>
          <w:sz w:val="24"/>
          <w:szCs w:val="24"/>
        </w:rPr>
      </w:pPr>
    </w:p>
    <w:p w14:paraId="12D4D316" w14:textId="77777777" w:rsidR="009119F1" w:rsidRDefault="009119F1">
      <w:pPr>
        <w:rPr>
          <w:rFonts w:ascii="Arial" w:hAnsi="Arial" w:cs="Arial"/>
          <w:b/>
          <w:sz w:val="24"/>
          <w:szCs w:val="24"/>
        </w:rPr>
      </w:pPr>
    </w:p>
    <w:p w14:paraId="25C8B9D8" w14:textId="77777777" w:rsidR="009119F1" w:rsidRDefault="009119F1">
      <w:pPr>
        <w:rPr>
          <w:rFonts w:ascii="Arial" w:hAnsi="Arial" w:cs="Arial"/>
          <w:b/>
          <w:sz w:val="24"/>
          <w:szCs w:val="24"/>
        </w:rPr>
      </w:pPr>
    </w:p>
    <w:p w14:paraId="11E7AE2D" w14:textId="77777777" w:rsidR="009119F1" w:rsidRDefault="009119F1">
      <w:pPr>
        <w:rPr>
          <w:rFonts w:ascii="Arial" w:hAnsi="Arial" w:cs="Arial"/>
          <w:b/>
          <w:sz w:val="24"/>
          <w:szCs w:val="24"/>
        </w:rPr>
      </w:pPr>
    </w:p>
    <w:p w14:paraId="43F51212" w14:textId="77777777" w:rsidR="009119F1" w:rsidRDefault="009119F1">
      <w:pPr>
        <w:rPr>
          <w:rFonts w:ascii="Arial" w:hAnsi="Arial" w:cs="Arial"/>
          <w:b/>
          <w:sz w:val="24"/>
          <w:szCs w:val="24"/>
        </w:rPr>
      </w:pPr>
    </w:p>
    <w:p w14:paraId="74A3590A" w14:textId="77777777" w:rsidR="009119F1" w:rsidRDefault="009119F1">
      <w:pPr>
        <w:rPr>
          <w:rFonts w:ascii="Arial" w:hAnsi="Arial" w:cs="Arial"/>
          <w:b/>
          <w:sz w:val="24"/>
          <w:szCs w:val="24"/>
        </w:rPr>
      </w:pPr>
    </w:p>
    <w:p w14:paraId="26D9EE9A" w14:textId="77777777" w:rsidR="009119F1" w:rsidRDefault="009119F1">
      <w:pPr>
        <w:rPr>
          <w:rFonts w:ascii="Arial" w:hAnsi="Arial" w:cs="Arial"/>
          <w:b/>
          <w:sz w:val="24"/>
          <w:szCs w:val="24"/>
        </w:rPr>
      </w:pPr>
    </w:p>
    <w:p w14:paraId="418EA658" w14:textId="77777777" w:rsidR="009119F1" w:rsidRDefault="009119F1">
      <w:pPr>
        <w:rPr>
          <w:rFonts w:ascii="Arial" w:hAnsi="Arial" w:cs="Arial"/>
          <w:b/>
          <w:sz w:val="24"/>
          <w:szCs w:val="24"/>
        </w:rPr>
      </w:pPr>
    </w:p>
    <w:p w14:paraId="7157F678" w14:textId="77777777" w:rsidR="009119F1" w:rsidRDefault="009119F1">
      <w:pPr>
        <w:rPr>
          <w:rFonts w:ascii="Arial" w:hAnsi="Arial" w:cs="Arial"/>
          <w:b/>
          <w:sz w:val="24"/>
          <w:szCs w:val="24"/>
        </w:rPr>
      </w:pPr>
    </w:p>
    <w:sectPr w:rsidR="009119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73B4E"/>
    <w:multiLevelType w:val="hybridMultilevel"/>
    <w:tmpl w:val="E9DE98F2"/>
    <w:lvl w:ilvl="0" w:tplc="E0C6942A">
      <w:start w:val="1"/>
      <w:numFmt w:val="decimal"/>
      <w:lvlText w:val="(%1)"/>
      <w:lvlJc w:val="left"/>
      <w:pPr>
        <w:ind w:left="720" w:hanging="360"/>
      </w:pPr>
    </w:lvl>
    <w:lvl w:ilvl="1" w:tplc="79C60A7A">
      <w:start w:val="1"/>
      <w:numFmt w:val="lowerLetter"/>
      <w:lvlText w:val="%2."/>
      <w:lvlJc w:val="left"/>
      <w:pPr>
        <w:ind w:left="1440" w:hanging="360"/>
      </w:pPr>
    </w:lvl>
    <w:lvl w:ilvl="2" w:tplc="33D4B1D6">
      <w:start w:val="1"/>
      <w:numFmt w:val="lowerRoman"/>
      <w:lvlText w:val="%3."/>
      <w:lvlJc w:val="right"/>
      <w:pPr>
        <w:ind w:left="2160" w:hanging="180"/>
      </w:pPr>
    </w:lvl>
    <w:lvl w:ilvl="3" w:tplc="018CC0D4">
      <w:start w:val="1"/>
      <w:numFmt w:val="decimal"/>
      <w:lvlText w:val="%4."/>
      <w:lvlJc w:val="left"/>
      <w:pPr>
        <w:ind w:left="2880" w:hanging="360"/>
      </w:pPr>
    </w:lvl>
    <w:lvl w:ilvl="4" w:tplc="0582B108">
      <w:start w:val="1"/>
      <w:numFmt w:val="lowerLetter"/>
      <w:lvlText w:val="%5."/>
      <w:lvlJc w:val="left"/>
      <w:pPr>
        <w:ind w:left="3600" w:hanging="360"/>
      </w:pPr>
    </w:lvl>
    <w:lvl w:ilvl="5" w:tplc="23AE1EAC">
      <w:start w:val="1"/>
      <w:numFmt w:val="lowerRoman"/>
      <w:lvlText w:val="%6."/>
      <w:lvlJc w:val="right"/>
      <w:pPr>
        <w:ind w:left="4320" w:hanging="180"/>
      </w:pPr>
    </w:lvl>
    <w:lvl w:ilvl="6" w:tplc="FF28414A">
      <w:start w:val="1"/>
      <w:numFmt w:val="decimal"/>
      <w:lvlText w:val="%7."/>
      <w:lvlJc w:val="left"/>
      <w:pPr>
        <w:ind w:left="5040" w:hanging="360"/>
      </w:pPr>
    </w:lvl>
    <w:lvl w:ilvl="7" w:tplc="38521A3E">
      <w:start w:val="1"/>
      <w:numFmt w:val="lowerLetter"/>
      <w:lvlText w:val="%8."/>
      <w:lvlJc w:val="left"/>
      <w:pPr>
        <w:ind w:left="5760" w:hanging="360"/>
      </w:pPr>
    </w:lvl>
    <w:lvl w:ilvl="8" w:tplc="44561BB4">
      <w:start w:val="1"/>
      <w:numFmt w:val="lowerRoman"/>
      <w:lvlText w:val="%9."/>
      <w:lvlJc w:val="right"/>
      <w:pPr>
        <w:ind w:left="6480" w:hanging="180"/>
      </w:pPr>
    </w:lvl>
  </w:abstractNum>
  <w:abstractNum w:abstractNumId="1" w15:restartNumberingAfterBreak="0">
    <w:nsid w:val="4B553910"/>
    <w:multiLevelType w:val="hybridMultilevel"/>
    <w:tmpl w:val="4530D0F8"/>
    <w:lvl w:ilvl="0" w:tplc="59964E8C">
      <w:start w:val="1"/>
      <w:numFmt w:val="decimal"/>
      <w:lvlText w:val="(%1)"/>
      <w:lvlJc w:val="left"/>
      <w:pPr>
        <w:ind w:left="720" w:hanging="360"/>
      </w:pPr>
    </w:lvl>
    <w:lvl w:ilvl="1" w:tplc="E0B4EF5C">
      <w:start w:val="1"/>
      <w:numFmt w:val="lowerLetter"/>
      <w:lvlText w:val="%2."/>
      <w:lvlJc w:val="left"/>
      <w:pPr>
        <w:ind w:left="1440" w:hanging="360"/>
      </w:pPr>
    </w:lvl>
    <w:lvl w:ilvl="2" w:tplc="4B323CEA">
      <w:start w:val="1"/>
      <w:numFmt w:val="lowerRoman"/>
      <w:lvlText w:val="%3."/>
      <w:lvlJc w:val="right"/>
      <w:pPr>
        <w:ind w:left="2160" w:hanging="180"/>
      </w:pPr>
    </w:lvl>
    <w:lvl w:ilvl="3" w:tplc="38241F0E">
      <w:start w:val="1"/>
      <w:numFmt w:val="decimal"/>
      <w:lvlText w:val="%4."/>
      <w:lvlJc w:val="left"/>
      <w:pPr>
        <w:ind w:left="2880" w:hanging="360"/>
      </w:pPr>
    </w:lvl>
    <w:lvl w:ilvl="4" w:tplc="CE401BF2">
      <w:start w:val="1"/>
      <w:numFmt w:val="lowerLetter"/>
      <w:lvlText w:val="%5."/>
      <w:lvlJc w:val="left"/>
      <w:pPr>
        <w:ind w:left="3600" w:hanging="360"/>
      </w:pPr>
    </w:lvl>
    <w:lvl w:ilvl="5" w:tplc="74F8F062">
      <w:start w:val="1"/>
      <w:numFmt w:val="lowerRoman"/>
      <w:lvlText w:val="%6."/>
      <w:lvlJc w:val="right"/>
      <w:pPr>
        <w:ind w:left="4320" w:hanging="180"/>
      </w:pPr>
    </w:lvl>
    <w:lvl w:ilvl="6" w:tplc="90C8DF7C">
      <w:start w:val="1"/>
      <w:numFmt w:val="decimal"/>
      <w:lvlText w:val="%7."/>
      <w:lvlJc w:val="left"/>
      <w:pPr>
        <w:ind w:left="5040" w:hanging="360"/>
      </w:pPr>
    </w:lvl>
    <w:lvl w:ilvl="7" w:tplc="530A08E0">
      <w:start w:val="1"/>
      <w:numFmt w:val="lowerLetter"/>
      <w:lvlText w:val="%8."/>
      <w:lvlJc w:val="left"/>
      <w:pPr>
        <w:ind w:left="5760" w:hanging="360"/>
      </w:pPr>
    </w:lvl>
    <w:lvl w:ilvl="8" w:tplc="DAD267BA">
      <w:start w:val="1"/>
      <w:numFmt w:val="lowerRoman"/>
      <w:lvlText w:val="%9."/>
      <w:lvlJc w:val="right"/>
      <w:pPr>
        <w:ind w:left="6480" w:hanging="180"/>
      </w:pPr>
    </w:lvl>
  </w:abstractNum>
  <w:abstractNum w:abstractNumId="2" w15:restartNumberingAfterBreak="0">
    <w:nsid w:val="74340FDB"/>
    <w:multiLevelType w:val="hybridMultilevel"/>
    <w:tmpl w:val="44B0A43A"/>
    <w:lvl w:ilvl="0" w:tplc="EF78898A">
      <w:start w:val="1"/>
      <w:numFmt w:val="decimal"/>
      <w:lvlText w:val="(%1)"/>
      <w:lvlJc w:val="left"/>
      <w:pPr>
        <w:ind w:left="720" w:hanging="360"/>
      </w:pPr>
    </w:lvl>
    <w:lvl w:ilvl="1" w:tplc="05EC6ADA">
      <w:start w:val="1"/>
      <w:numFmt w:val="lowerLetter"/>
      <w:lvlText w:val="%2."/>
      <w:lvlJc w:val="left"/>
      <w:pPr>
        <w:ind w:left="1440" w:hanging="360"/>
      </w:pPr>
    </w:lvl>
    <w:lvl w:ilvl="2" w:tplc="9E4A1DF4">
      <w:start w:val="1"/>
      <w:numFmt w:val="lowerRoman"/>
      <w:lvlText w:val="%3."/>
      <w:lvlJc w:val="right"/>
      <w:pPr>
        <w:ind w:left="2160" w:hanging="180"/>
      </w:pPr>
    </w:lvl>
    <w:lvl w:ilvl="3" w:tplc="7A602A56">
      <w:start w:val="1"/>
      <w:numFmt w:val="decimal"/>
      <w:lvlText w:val="%4."/>
      <w:lvlJc w:val="left"/>
      <w:pPr>
        <w:ind w:left="2880" w:hanging="360"/>
      </w:pPr>
    </w:lvl>
    <w:lvl w:ilvl="4" w:tplc="8600370C">
      <w:start w:val="1"/>
      <w:numFmt w:val="lowerLetter"/>
      <w:lvlText w:val="%5."/>
      <w:lvlJc w:val="left"/>
      <w:pPr>
        <w:ind w:left="3600" w:hanging="360"/>
      </w:pPr>
    </w:lvl>
    <w:lvl w:ilvl="5" w:tplc="323453F6">
      <w:start w:val="1"/>
      <w:numFmt w:val="lowerRoman"/>
      <w:lvlText w:val="%6."/>
      <w:lvlJc w:val="right"/>
      <w:pPr>
        <w:ind w:left="4320" w:hanging="180"/>
      </w:pPr>
    </w:lvl>
    <w:lvl w:ilvl="6" w:tplc="9086FF14">
      <w:start w:val="1"/>
      <w:numFmt w:val="decimal"/>
      <w:lvlText w:val="%7."/>
      <w:lvlJc w:val="left"/>
      <w:pPr>
        <w:ind w:left="5040" w:hanging="360"/>
      </w:pPr>
    </w:lvl>
    <w:lvl w:ilvl="7" w:tplc="699A96C6">
      <w:start w:val="1"/>
      <w:numFmt w:val="lowerLetter"/>
      <w:lvlText w:val="%8."/>
      <w:lvlJc w:val="left"/>
      <w:pPr>
        <w:ind w:left="5760" w:hanging="360"/>
      </w:pPr>
    </w:lvl>
    <w:lvl w:ilvl="8" w:tplc="8D6E3084">
      <w:start w:val="1"/>
      <w:numFmt w:val="lowerRoman"/>
      <w:lvlText w:val="%9."/>
      <w:lvlJc w:val="right"/>
      <w:pPr>
        <w:ind w:left="6480" w:hanging="180"/>
      </w:pPr>
    </w:lvl>
  </w:abstractNum>
  <w:num w:numId="1" w16cid:durableId="1129125456">
    <w:abstractNumId w:val="2"/>
  </w:num>
  <w:num w:numId="2" w16cid:durableId="1741512657">
    <w:abstractNumId w:val="1"/>
  </w:num>
  <w:num w:numId="3" w16cid:durableId="1126042707">
    <w:abstractNumId w:val="0"/>
  </w:num>
  <w:num w:numId="4" w16cid:durableId="10974077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C51"/>
    <w:rsid w:val="00064040"/>
    <w:rsid w:val="001510E6"/>
    <w:rsid w:val="001F1296"/>
    <w:rsid w:val="001F4CFB"/>
    <w:rsid w:val="00262088"/>
    <w:rsid w:val="002B0E85"/>
    <w:rsid w:val="0031196D"/>
    <w:rsid w:val="005027FE"/>
    <w:rsid w:val="005D3C51"/>
    <w:rsid w:val="006371B6"/>
    <w:rsid w:val="006868E5"/>
    <w:rsid w:val="007005D2"/>
    <w:rsid w:val="008303E3"/>
    <w:rsid w:val="008B4184"/>
    <w:rsid w:val="009119F1"/>
    <w:rsid w:val="00A20258"/>
    <w:rsid w:val="00A37F87"/>
    <w:rsid w:val="00B2309A"/>
    <w:rsid w:val="00B87184"/>
    <w:rsid w:val="00C7013B"/>
    <w:rsid w:val="00CC7D62"/>
    <w:rsid w:val="00F943A5"/>
    <w:rsid w:val="00FF5082"/>
    <w:rsid w:val="02D76CA6"/>
    <w:rsid w:val="0A210F0C"/>
    <w:rsid w:val="0C13F2B4"/>
    <w:rsid w:val="0D3DFBB8"/>
    <w:rsid w:val="0D7A2B10"/>
    <w:rsid w:val="0FBBEE93"/>
    <w:rsid w:val="1199C97D"/>
    <w:rsid w:val="11A61152"/>
    <w:rsid w:val="11DFEB39"/>
    <w:rsid w:val="16987B7A"/>
    <w:rsid w:val="1B93D0BB"/>
    <w:rsid w:val="1BD07B9D"/>
    <w:rsid w:val="1CBDFAD3"/>
    <w:rsid w:val="20CFBB14"/>
    <w:rsid w:val="20EB5D5E"/>
    <w:rsid w:val="218319A4"/>
    <w:rsid w:val="23C2FC5F"/>
    <w:rsid w:val="23C3EE3A"/>
    <w:rsid w:val="24B448BC"/>
    <w:rsid w:val="25180F69"/>
    <w:rsid w:val="285008F1"/>
    <w:rsid w:val="2A087F76"/>
    <w:rsid w:val="2B8A53F8"/>
    <w:rsid w:val="2C9F5A8E"/>
    <w:rsid w:val="2D5C6254"/>
    <w:rsid w:val="2E3A3A2F"/>
    <w:rsid w:val="2F5B50AC"/>
    <w:rsid w:val="2FE86EC7"/>
    <w:rsid w:val="309011BF"/>
    <w:rsid w:val="3152C81F"/>
    <w:rsid w:val="35CC8DAE"/>
    <w:rsid w:val="37623F78"/>
    <w:rsid w:val="37B8A52D"/>
    <w:rsid w:val="383B70C1"/>
    <w:rsid w:val="3BFE4B34"/>
    <w:rsid w:val="3C95ABD0"/>
    <w:rsid w:val="3D7D45B2"/>
    <w:rsid w:val="3E75C838"/>
    <w:rsid w:val="41A779F6"/>
    <w:rsid w:val="42679DA4"/>
    <w:rsid w:val="42C6D361"/>
    <w:rsid w:val="45ED394C"/>
    <w:rsid w:val="462BD747"/>
    <w:rsid w:val="46ACF912"/>
    <w:rsid w:val="46AEF907"/>
    <w:rsid w:val="46E7C974"/>
    <w:rsid w:val="47202712"/>
    <w:rsid w:val="481596CF"/>
    <w:rsid w:val="486B1B8C"/>
    <w:rsid w:val="49D1C8E4"/>
    <w:rsid w:val="4A1DFC61"/>
    <w:rsid w:val="4CBD7905"/>
    <w:rsid w:val="4D1DB09B"/>
    <w:rsid w:val="523B42B1"/>
    <w:rsid w:val="531C6A0F"/>
    <w:rsid w:val="534C389E"/>
    <w:rsid w:val="5752FF1A"/>
    <w:rsid w:val="58A177F2"/>
    <w:rsid w:val="5B36BB8B"/>
    <w:rsid w:val="5BF0D018"/>
    <w:rsid w:val="5CB98DC7"/>
    <w:rsid w:val="5CDF0365"/>
    <w:rsid w:val="5E13677F"/>
    <w:rsid w:val="5E90978C"/>
    <w:rsid w:val="5EE9E75A"/>
    <w:rsid w:val="61D2131D"/>
    <w:rsid w:val="61FFBDA4"/>
    <w:rsid w:val="621ED383"/>
    <w:rsid w:val="62F89D6D"/>
    <w:rsid w:val="63841B57"/>
    <w:rsid w:val="63A18FD0"/>
    <w:rsid w:val="65D61D88"/>
    <w:rsid w:val="66E6D3ED"/>
    <w:rsid w:val="67BCDECC"/>
    <w:rsid w:val="692D5915"/>
    <w:rsid w:val="6D192DAF"/>
    <w:rsid w:val="6DEF0A19"/>
    <w:rsid w:val="6F3880FD"/>
    <w:rsid w:val="6F8E5314"/>
    <w:rsid w:val="731534B2"/>
    <w:rsid w:val="753F7A86"/>
    <w:rsid w:val="77DFC21F"/>
    <w:rsid w:val="7D64AF80"/>
    <w:rsid w:val="7DFB5C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5D6D"/>
  <w15:chartTrackingRefBased/>
  <w15:docId w15:val="{BD30143F-5D80-4C78-A4A0-8BD9A4D9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3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9119F1"/>
    <w:pPr>
      <w:spacing w:after="0" w:line="276" w:lineRule="auto"/>
      <w:ind w:left="720"/>
      <w:contextualSpacing/>
    </w:pPr>
    <w:rPr>
      <w:rFonts w:ascii="Arial" w:eastAsia="Calibri" w:hAnsi="Arial" w:cs="Arial"/>
      <w:sz w:val="28"/>
      <w:szCs w:val="28"/>
      <w:lang w:eastAsia="en-GB"/>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locked/>
    <w:rsid w:val="009119F1"/>
    <w:rPr>
      <w:rFonts w:ascii="Arial" w:eastAsia="Calibri" w:hAnsi="Arial" w:cs="Arial"/>
      <w:sz w:val="28"/>
      <w:szCs w:val="28"/>
      <w:lang w:eastAsia="en-GB"/>
    </w:rPr>
  </w:style>
  <w:style w:type="character" w:customStyle="1" w:styleId="Hyperlink2">
    <w:name w:val="Hyperlink2"/>
    <w:rsid w:val="009119F1"/>
    <w:rPr>
      <w:strike w:val="0"/>
      <w:dstrike w:val="0"/>
      <w:color w:val="639A00"/>
      <w:u w:val="single"/>
      <w:effect w:val="none"/>
      <w:bdr w:val="none" w:sz="0" w:space="0" w:color="auto" w:frame="1"/>
    </w:rPr>
  </w:style>
  <w:style w:type="paragraph" w:styleId="BodyText">
    <w:name w:val="Body Text"/>
    <w:basedOn w:val="Normal"/>
    <w:link w:val="BodyTextChar"/>
    <w:rsid w:val="009119F1"/>
    <w:pPr>
      <w:spacing w:after="0" w:line="240" w:lineRule="auto"/>
    </w:pPr>
    <w:rPr>
      <w:rFonts w:ascii="Century Schoolbook" w:eastAsia="Times New Roman" w:hAnsi="Century Schoolbook" w:cs="Times New Roman"/>
      <w:b/>
      <w:sz w:val="28"/>
      <w:szCs w:val="20"/>
      <w:lang w:eastAsia="en-GB"/>
    </w:rPr>
  </w:style>
  <w:style w:type="character" w:customStyle="1" w:styleId="BodyTextChar">
    <w:name w:val="Body Text Char"/>
    <w:basedOn w:val="DefaultParagraphFont"/>
    <w:link w:val="BodyText"/>
    <w:rsid w:val="009119F1"/>
    <w:rPr>
      <w:rFonts w:ascii="Century Schoolbook" w:eastAsia="Times New Roman" w:hAnsi="Century Schoolbook" w:cs="Times New Roman"/>
      <w:b/>
      <w:sz w:val="28"/>
      <w:szCs w:val="20"/>
      <w:lang w:eastAsia="en-GB"/>
    </w:rPr>
  </w:style>
  <w:style w:type="character" w:styleId="Hyperlink">
    <w:name w:val="Hyperlink"/>
    <w:rsid w:val="009119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9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16B18FC4A6F11A4AB964AE09BFF4E00E" ma:contentTypeVersion="5" ma:contentTypeDescription="Content Type for Corporate Sites" ma:contentTypeScope="" ma:versionID="527f25d9c130084e0a59bb1da9c60146">
  <xsd:schema xmlns:xsd="http://www.w3.org/2001/XMLSchema" xmlns:xs="http://www.w3.org/2001/XMLSchema" xmlns:p="http://schemas.microsoft.com/office/2006/metadata/properties" xmlns:ns2="1a3e8857-dc64-4ebc-a792-285a74b64f01" xmlns:ns3="ed92d282-9916-4408-bd33-05a728c7c45d" targetNamespace="http://schemas.microsoft.com/office/2006/metadata/properties" ma:root="true" ma:fieldsID="6c1d5517d2ce87ac3db479ed5c8b846f" ns2:_="" ns3:_="">
    <xsd:import namespace="1a3e8857-dc64-4ebc-a792-285a74b64f01"/>
    <xsd:import namespace="ed92d282-9916-4408-bd33-05a728c7c45d"/>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d92d282-9916-4408-bd33-05a728c7c45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5ff7883-e9ad-47da-b7a9-b64fe1b1d849" ContentTypeId="0x010100EDFE3A973432B34083CFD01F0DFDAA9B" PreviousValue="false" LastSyncTimeStamp="2023-03-06T11:10:53.60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Pamela Marron</ini_default_created_by>
    <Intapp_From xmlns="1a3e8857-dc64-4ebc-a792-285a74b64f01" xsi:nil="true"/>
    <Intapp_DateReceived xmlns="1a3e8857-dc64-4ebc-a792-285a74b64f01" xsi:nil="true"/>
    <meridio_created_by xmlns="1a3e8857-dc64-4ebc-a792-285a74b64f01">pamela.marron</meridio_created_by>
    <_dlc_DocId xmlns="ed92d282-9916-4408-bd33-05a728c7c45d">2H2KRMEFD5EA-1844219065-3242</_dlc_DocId>
    <_dlc_DocIdUrl xmlns="ed92d282-9916-4408-bd33-05a728c7c45d">
      <Url>https://investni.sharepoint.com/sites/COO/_layouts/15/DocIdRedir.aspx?ID=2H2KRMEFD5EA-1844219065-3242</Url>
      <Description>2H2KRMEFD5EA-1844219065-3242</Description>
    </_dlc_DocIdUrl>
    <_dlc_DocIdPersistId xmlns="ed92d282-9916-4408-bd33-05a728c7c45d">false</_dlc_DocIdPersistId>
  </documentManagement>
</p:properties>
</file>

<file path=customXml/itemProps1.xml><?xml version="1.0" encoding="utf-8"?>
<ds:datastoreItem xmlns:ds="http://schemas.openxmlformats.org/officeDocument/2006/customXml" ds:itemID="{E16DCA79-4142-4933-AB59-B1982B732972}">
  <ds:schemaRefs>
    <ds:schemaRef ds:uri="http://schemas.microsoft.com/sharepoint/events"/>
  </ds:schemaRefs>
</ds:datastoreItem>
</file>

<file path=customXml/itemProps2.xml><?xml version="1.0" encoding="utf-8"?>
<ds:datastoreItem xmlns:ds="http://schemas.openxmlformats.org/officeDocument/2006/customXml" ds:itemID="{649B4D2E-6B0F-41DD-8CA6-9E9660421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ed92d282-9916-4408-bd33-05a728c7c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96CD2A-410C-4764-BBBA-2C4DB6EB54F6}">
  <ds:schemaRefs>
    <ds:schemaRef ds:uri="Microsoft.SharePoint.Taxonomy.ContentTypeSync"/>
  </ds:schemaRefs>
</ds:datastoreItem>
</file>

<file path=customXml/itemProps4.xml><?xml version="1.0" encoding="utf-8"?>
<ds:datastoreItem xmlns:ds="http://schemas.openxmlformats.org/officeDocument/2006/customXml" ds:itemID="{25801481-8785-45B5-A6BB-17D2D1465618}">
  <ds:schemaRefs>
    <ds:schemaRef ds:uri="http://schemas.microsoft.com/sharepoint/v3/contenttype/forms"/>
  </ds:schemaRefs>
</ds:datastoreItem>
</file>

<file path=customXml/itemProps5.xml><?xml version="1.0" encoding="utf-8"?>
<ds:datastoreItem xmlns:ds="http://schemas.openxmlformats.org/officeDocument/2006/customXml" ds:itemID="{05DB9332-4019-47EB-9454-07F8A943F075}">
  <ds:schemaRefs>
    <ds:schemaRef ds:uri="http://schemas.microsoft.com/office/2006/metadata/properties"/>
    <ds:schemaRef ds:uri="http://schemas.microsoft.com/office/infopath/2007/PartnerControls"/>
    <ds:schemaRef ds:uri="1a3e8857-dc64-4ebc-a792-285a74b64f01"/>
    <ds:schemaRef ds:uri="ed92d282-9916-4408-bd33-05a728c7c4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Marron</dc:creator>
  <cp:keywords/>
  <dc:description/>
  <cp:lastModifiedBy>Pamela Marron</cp:lastModifiedBy>
  <cp:revision>2</cp:revision>
  <dcterms:created xsi:type="dcterms:W3CDTF">2025-06-16T14:40:00Z</dcterms:created>
  <dcterms:modified xsi:type="dcterms:W3CDTF">2025-06-16T14:40:00Z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0x010100EDFE3A973432B34083CFD01F0DFDAA9B0016B18FC4A6F11A4AB964AE09BFF4E00E</vt:lpwstr>
  </property>
  <property fmtid="{D5CDD505-2E9C-101B-9397-08002B2CF9AE}" pid="3" name="Order">
    <vt:r8>7900</vt:r8>
  </property>
  <property fmtid="{D5CDD505-2E9C-101B-9397-08002B2CF9AE}" pid="4" name="_dlc_DocIdItemGuid">
    <vt:lpwstr>c7f061a4-b00b-45b8-8247-5b4317be620d</vt:lpwstr>
  </property>
  <property fmtid="{D5CDD505-2E9C-101B-9397-08002B2CF9AE}" pid="5" name="SharedWithUsers">
    <vt:lpwstr>197;#Gerard McNally</vt:lpwstr>
  </property>
  <property fmtid="{D5CDD505-2E9C-101B-9397-08002B2CF9AE}" pid="6" name="InternetMessageId">
    <vt:lpwstr/>
  </property>
  <property fmtid="{D5CDD505-2E9C-101B-9397-08002B2CF9AE}" pid="7" name="Intapp_BCC">
    <vt:lpwstr/>
  </property>
  <property fmtid="{D5CDD505-2E9C-101B-9397-08002B2CF9AE}" pid="8" name="xd_ProgID">
    <vt:lpwstr/>
  </property>
  <property fmtid="{D5CDD505-2E9C-101B-9397-08002B2CF9AE}" pid="9" name="meridio_author">
    <vt:lpwstr/>
  </property>
  <property fmtid="{D5CDD505-2E9C-101B-9397-08002B2CF9AE}" pid="10" name="meridio_id">
    <vt:lpwstr/>
  </property>
  <property fmtid="{D5CDD505-2E9C-101B-9397-08002B2CF9AE}" pid="11" name="Intapp_HasAttachments">
    <vt:bool>false</vt:bool>
  </property>
  <property fmtid="{D5CDD505-2E9C-101B-9397-08002B2CF9AE}" pid="12" name="ComplianceAssetId">
    <vt:lpwstr/>
  </property>
  <property fmtid="{D5CDD505-2E9C-101B-9397-08002B2CF9AE}" pid="13" name="TemplateUrl">
    <vt:lpwstr/>
  </property>
  <property fmtid="{D5CDD505-2E9C-101B-9397-08002B2CF9AE}" pid="14" name="Intapp_Subject">
    <vt:lpwstr/>
  </property>
  <property fmtid="{D5CDD505-2E9C-101B-9397-08002B2CF9AE}" pid="15" name="Intapp_ConversationIndex">
    <vt:lpwstr/>
  </property>
  <property fmtid="{D5CDD505-2E9C-101B-9397-08002B2CF9AE}" pid="16" name="case_id">
    <vt:lpwstr/>
  </property>
  <property fmtid="{D5CDD505-2E9C-101B-9397-08002B2CF9AE}" pid="17" name="meridio_modified_by">
    <vt:lpwstr/>
  </property>
  <property fmtid="{D5CDD505-2E9C-101B-9397-08002B2CF9AE}" pid="18" name="asset_id">
    <vt:lpwstr/>
  </property>
  <property fmtid="{D5CDD505-2E9C-101B-9397-08002B2CF9AE}" pid="19" name="customer_id">
    <vt:lpwstr/>
  </property>
  <property fmtid="{D5CDD505-2E9C-101B-9397-08002B2CF9AE}" pid="20" name="employee_id">
    <vt:lpwstr/>
  </property>
  <property fmtid="{D5CDD505-2E9C-101B-9397-08002B2CF9AE}" pid="21" name="meridio_title">
    <vt:lpwstr/>
  </property>
  <property fmtid="{D5CDD505-2E9C-101B-9397-08002B2CF9AE}" pid="22" name="Intapp_ConversationID">
    <vt:lpwstr/>
  </property>
  <property fmtid="{D5CDD505-2E9C-101B-9397-08002B2CF9AE}" pid="23" name="meridio_declared_by">
    <vt:lpwstr/>
  </property>
  <property fmtid="{D5CDD505-2E9C-101B-9397-08002B2CF9AE}" pid="24" name="programme_id">
    <vt:lpwstr/>
  </property>
  <property fmtid="{D5CDD505-2E9C-101B-9397-08002B2CF9AE}" pid="25" name="_ExtendedDescription">
    <vt:lpwstr/>
  </property>
  <property fmtid="{D5CDD505-2E9C-101B-9397-08002B2CF9AE}" pid="26" name="contract_id">
    <vt:lpwstr/>
  </property>
  <property fmtid="{D5CDD505-2E9C-101B-9397-08002B2CF9AE}" pid="27" name="TriggerFlowInfo">
    <vt:lpwstr/>
  </property>
  <property fmtid="{D5CDD505-2E9C-101B-9397-08002B2CF9AE}" pid="28" name="Intapp_ConversationTopic">
    <vt:lpwstr/>
  </property>
  <property fmtid="{D5CDD505-2E9C-101B-9397-08002B2CF9AE}" pid="29" name="Fingerprint">
    <vt:lpwstr/>
  </property>
  <property fmtid="{D5CDD505-2E9C-101B-9397-08002B2CF9AE}" pid="30" name="meridio_version_id">
    <vt:lpwstr/>
  </property>
  <property fmtid="{D5CDD505-2E9C-101B-9397-08002B2CF9AE}" pid="31" name="Intapp_CC">
    <vt:lpwstr/>
  </property>
  <property fmtid="{D5CDD505-2E9C-101B-9397-08002B2CF9AE}" pid="32" name="Intapp_To">
    <vt:lpwstr/>
  </property>
  <property fmtid="{D5CDD505-2E9C-101B-9397-08002B2CF9AE}" pid="33" name="xd_Signature">
    <vt:bool>false</vt:bool>
  </property>
</Properties>
</file>